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162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宜宾市中医药管理局</w:t>
      </w:r>
    </w:p>
    <w:p w14:paraId="0B378D9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智慧中医医院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试点项目建设指南</w:t>
      </w:r>
    </w:p>
    <w:p w14:paraId="65BA1FA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B042DD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贯彻落实《关于促进数字中医药发展的若干意见》，加强智慧中医医院建设，根据《宜宾市中医药传承创新发展示范项目实施方案》相关工作要求，结合宜宾中医药信息化发展实际，由市中医药管理局牵头开展宜宾市智慧中医医院试点建设项目。</w:t>
      </w:r>
    </w:p>
    <w:p w14:paraId="73D7F06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项目旨在从区域内市、县（区）级中医医院中遴选出6家机构作为智慧中医医院试点项目建设单位（简称试点单位）。试点建设单位是指从中医综合型、中医电子病历、智慧中药房、名老中医传承、中医临床科研、中医智慧医共体等类别中选择并开展项目建设，建成一批满足“智慧医疗、智慧服务、智慧管理”（三位一体）要求且中医药特色应用突出的智慧中医医院，发挥示范引领作用，形成可复制、可推广的“宜宾经验”。</w:t>
      </w:r>
    </w:p>
    <w:p w14:paraId="624916B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项目依据和建设内容</w:t>
      </w:r>
    </w:p>
    <w:p w14:paraId="4303C40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（一）项目依据</w:t>
      </w:r>
    </w:p>
    <w:p w14:paraId="700F8F9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建设方案须须符合《中医医院信息与数字化建设规范(2024版)》《中医医院信息系统基本功能规范（2011年版本）》《智慧医疗分级评价方法及标准（2025版）》《智慧中医医院项目建设指导意见》及相关标准规范，完成宜宾市中医药管理局关于《宜宾市“数智中医”信息化建设项目》中要求的中医药业务协同应用场景任务，并满足本文中应用评价细则及上级针对中医药信息化建设有关要求。</w:t>
      </w:r>
    </w:p>
    <w:p w14:paraId="3E5BBEF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试点单位还须结合自身信息化发展现状和医院发展目标，重点加强信息化基础能力建设，落实网络安全与数据安全责任制，强化网络安全与数据安全防护，推进标准规范的应用与实施工作；推进患者院前、院中、院后诊疗数据贯通以及院内外合规高效调用，推进人工智能在中医医院临床、教学、科研、后勤、管理等方面应用；各特色型医院应立足现实需求深化应用场景，使得中医药特色应用功能评价达到全省领先水平；以数据驱动业务流程再造，建立智慧医疗、智慧服务、智慧管理“三位一体”且中医药特色应用突出的智慧中医医院。</w:t>
      </w:r>
    </w:p>
    <w:p w14:paraId="7D40577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（二）绩效目标</w:t>
      </w:r>
    </w:p>
    <w:p w14:paraId="07C896A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1.按照国家数据局指导编制的《高质量数据集建设指引》，每家试点单位开展中医高质量数据集建设，并产生不少于2类高质量数据集。</w:t>
      </w:r>
    </w:p>
    <w:p w14:paraId="17BC6A2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2.每家试点单位打造一批具有中医药特色的业务应用场景，其中综合型不少于5个，特色型不少于3个。</w:t>
      </w:r>
    </w:p>
    <w:p w14:paraId="0D12469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3.每家试点单位打造人工智能在临床、教学、科研、后勤、管理等方面的特色应用场景不少于2个。</w:t>
      </w:r>
    </w:p>
    <w:p w14:paraId="193134B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4.每家试点单位通过项目建设至少达到四川省智慧医院4星及以上标准。</w:t>
      </w:r>
    </w:p>
    <w:p w14:paraId="5348C99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（三）建设内容及应用评价细则</w:t>
      </w:r>
    </w:p>
    <w:p w14:paraId="57EA822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本项目建设类型包括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中医综合型、中医电子病历、智慧中药房、名老中医传承、中医临床科研、中医智慧医共体。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其中中医综合型须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2种特色型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进行建设并达到有关要求。各类型的信息化应用评价细则如下：</w:t>
      </w:r>
    </w:p>
    <w:p w14:paraId="742D4EC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FC5C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（一）智慧中医医院（中医电子病历型）</w:t>
      </w:r>
    </w:p>
    <w:tbl>
      <w:tblPr>
        <w:tblStyle w:val="2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28"/>
        <w:gridCol w:w="952"/>
        <w:gridCol w:w="5070"/>
        <w:gridCol w:w="1101"/>
      </w:tblGrid>
      <w:tr w14:paraId="3054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186" w:type="dxa"/>
            <w:noWrap w:val="0"/>
            <w:vAlign w:val="center"/>
          </w:tcPr>
          <w:p w14:paraId="73ED4CA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1428" w:type="dxa"/>
            <w:noWrap w:val="0"/>
            <w:vAlign w:val="center"/>
          </w:tcPr>
          <w:p w14:paraId="246A223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952" w:type="dxa"/>
            <w:noWrap w:val="0"/>
            <w:vAlign w:val="center"/>
          </w:tcPr>
          <w:p w14:paraId="42EE1D2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070" w:type="dxa"/>
            <w:noWrap w:val="0"/>
            <w:vAlign w:val="center"/>
          </w:tcPr>
          <w:p w14:paraId="0A06B1D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主要评价内容</w:t>
            </w:r>
          </w:p>
        </w:tc>
        <w:tc>
          <w:tcPr>
            <w:tcW w:w="1101" w:type="dxa"/>
            <w:noWrap w:val="0"/>
            <w:vAlign w:val="center"/>
          </w:tcPr>
          <w:p w14:paraId="37D9B8C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BB0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532E008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中医病历信息管理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3DA5357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病历信息</w:t>
            </w:r>
          </w:p>
          <w:p w14:paraId="5EDFBB3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录入</w:t>
            </w:r>
          </w:p>
        </w:tc>
        <w:tc>
          <w:tcPr>
            <w:tcW w:w="952" w:type="dxa"/>
            <w:noWrap w:val="0"/>
            <w:vAlign w:val="center"/>
          </w:tcPr>
          <w:p w14:paraId="5085D82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1.1.1</w:t>
            </w:r>
          </w:p>
        </w:tc>
        <w:tc>
          <w:tcPr>
            <w:tcW w:w="5070" w:type="dxa"/>
            <w:noWrap w:val="0"/>
            <w:vAlign w:val="center"/>
          </w:tcPr>
          <w:p w14:paraId="61B8AB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提供标准化的中医诊断，包括中医疾病诊断、中医证候诊断。</w:t>
            </w:r>
          </w:p>
        </w:tc>
        <w:tc>
          <w:tcPr>
            <w:tcW w:w="1101" w:type="dxa"/>
            <w:noWrap w:val="0"/>
            <w:vAlign w:val="center"/>
          </w:tcPr>
          <w:p w14:paraId="29E4297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7FA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439D9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E657A2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E2565B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1.1.2</w:t>
            </w:r>
          </w:p>
        </w:tc>
        <w:tc>
          <w:tcPr>
            <w:tcW w:w="5070" w:type="dxa"/>
            <w:noWrap w:val="0"/>
            <w:vAlign w:val="center"/>
          </w:tcPr>
          <w:p w14:paraId="40EF678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提供中医辨证依据录入功能。</w:t>
            </w:r>
          </w:p>
        </w:tc>
        <w:tc>
          <w:tcPr>
            <w:tcW w:w="1101" w:type="dxa"/>
            <w:noWrap w:val="0"/>
            <w:vAlign w:val="center"/>
          </w:tcPr>
          <w:p w14:paraId="71597F3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80F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76C4EB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24894F3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AB5567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1.1.3</w:t>
            </w:r>
          </w:p>
        </w:tc>
        <w:tc>
          <w:tcPr>
            <w:tcW w:w="5070" w:type="dxa"/>
            <w:noWrap w:val="0"/>
            <w:vAlign w:val="center"/>
          </w:tcPr>
          <w:p w14:paraId="53B900F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支持四诊信息录入、智能四诊信息采集，如面色、舌质、舌苔、脉象等。</w:t>
            </w:r>
          </w:p>
        </w:tc>
        <w:tc>
          <w:tcPr>
            <w:tcW w:w="1101" w:type="dxa"/>
            <w:noWrap w:val="0"/>
            <w:vAlign w:val="center"/>
          </w:tcPr>
          <w:p w14:paraId="536F42A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90C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BE644C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632456F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EA2CF8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1.1.4</w:t>
            </w:r>
          </w:p>
        </w:tc>
        <w:tc>
          <w:tcPr>
            <w:tcW w:w="5070" w:type="dxa"/>
            <w:noWrap w:val="0"/>
            <w:vAlign w:val="center"/>
          </w:tcPr>
          <w:p w14:paraId="045540F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支持结构化录入、语音录入、AI录入等方式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医生工作站可自动加载预问诊数据，实现病历自动生成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45A43B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0F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4F154C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BC1D45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3AC8B2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1.1.5</w:t>
            </w:r>
          </w:p>
        </w:tc>
        <w:tc>
          <w:tcPr>
            <w:tcW w:w="5070" w:type="dxa"/>
            <w:noWrap w:val="0"/>
            <w:vAlign w:val="center"/>
          </w:tcPr>
          <w:p w14:paraId="405891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支持针灸治疗记录录入，内容如针法、灸法及留针时间等。</w:t>
            </w:r>
          </w:p>
        </w:tc>
        <w:tc>
          <w:tcPr>
            <w:tcW w:w="1101" w:type="dxa"/>
            <w:noWrap w:val="0"/>
            <w:vAlign w:val="center"/>
          </w:tcPr>
          <w:p w14:paraId="6671299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E8C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345FE6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2A68102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C6B236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1.1.6</w:t>
            </w:r>
          </w:p>
        </w:tc>
        <w:tc>
          <w:tcPr>
            <w:tcW w:w="5070" w:type="dxa"/>
            <w:noWrap w:val="0"/>
            <w:vAlign w:val="center"/>
          </w:tcPr>
          <w:p w14:paraId="53D5127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支持推拿治疗记录录入，内容如部位（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经络、穴位等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）、手法等。</w:t>
            </w:r>
          </w:p>
        </w:tc>
        <w:tc>
          <w:tcPr>
            <w:tcW w:w="1101" w:type="dxa"/>
            <w:noWrap w:val="0"/>
            <w:vAlign w:val="center"/>
          </w:tcPr>
          <w:p w14:paraId="1752ABE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79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B7D2C2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24F12A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AC5FFB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1.1.7</w:t>
            </w:r>
          </w:p>
        </w:tc>
        <w:tc>
          <w:tcPr>
            <w:tcW w:w="5070" w:type="dxa"/>
            <w:noWrap w:val="0"/>
            <w:vAlign w:val="center"/>
          </w:tcPr>
          <w:p w14:paraId="45EF51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支持录入除针灸、推拿外其他非药物中医技术治疗记录，如耳穴压豆、穴位敷贴、拔罐、刮痧、中药雾化、艾盐熨、中药灌肠等。</w:t>
            </w:r>
          </w:p>
        </w:tc>
        <w:tc>
          <w:tcPr>
            <w:tcW w:w="1101" w:type="dxa"/>
            <w:noWrap w:val="0"/>
            <w:vAlign w:val="center"/>
          </w:tcPr>
          <w:p w14:paraId="16762E3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2DB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B5F9F9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A8D744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53FAEF7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1.1.8</w:t>
            </w:r>
          </w:p>
        </w:tc>
        <w:tc>
          <w:tcPr>
            <w:tcW w:w="5070" w:type="dxa"/>
            <w:shd w:val="clear" w:color="auto" w:fill="auto"/>
            <w:noWrap w:val="0"/>
            <w:vAlign w:val="center"/>
          </w:tcPr>
          <w:p w14:paraId="5D552B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门诊和住院病历均实现结构化管理，可自动生成门诊和住院病案首页，电子病历修改痕迹可追溯。</w:t>
            </w:r>
          </w:p>
        </w:tc>
        <w:tc>
          <w:tcPr>
            <w:tcW w:w="1101" w:type="dxa"/>
            <w:noWrap w:val="0"/>
            <w:vAlign w:val="center"/>
          </w:tcPr>
          <w:p w14:paraId="39AAA0E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D54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4A2E75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CF632E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3ED1FA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1.1.9</w:t>
            </w:r>
          </w:p>
        </w:tc>
        <w:tc>
          <w:tcPr>
            <w:tcW w:w="5070" w:type="dxa"/>
            <w:noWrap w:val="0"/>
            <w:vAlign w:val="center"/>
          </w:tcPr>
          <w:p w14:paraId="3304DD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为患者提供线上病历邮寄申请服务；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在对外提供电子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病历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数据服务时，具有加盖水印及去隐私功能。</w:t>
            </w:r>
          </w:p>
        </w:tc>
        <w:tc>
          <w:tcPr>
            <w:tcW w:w="1101" w:type="dxa"/>
            <w:noWrap w:val="0"/>
            <w:vAlign w:val="center"/>
          </w:tcPr>
          <w:p w14:paraId="3173584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06F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FE3AE6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noWrap w:val="0"/>
            <w:vAlign w:val="center"/>
          </w:tcPr>
          <w:p w14:paraId="410693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中药处方</w:t>
            </w:r>
          </w:p>
          <w:p w14:paraId="1AEAD4E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信息录入</w:t>
            </w:r>
          </w:p>
        </w:tc>
        <w:tc>
          <w:tcPr>
            <w:tcW w:w="952" w:type="dxa"/>
            <w:noWrap w:val="0"/>
            <w:vAlign w:val="center"/>
          </w:tcPr>
          <w:p w14:paraId="6D3FA0B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1.2.1</w:t>
            </w:r>
          </w:p>
        </w:tc>
        <w:tc>
          <w:tcPr>
            <w:tcW w:w="5070" w:type="dxa"/>
            <w:noWrap w:val="0"/>
            <w:vAlign w:val="center"/>
          </w:tcPr>
          <w:p w14:paraId="48AEE85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提供中医经典处方、协定处方、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中药膏方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等具有中医特色处方引用功能。</w:t>
            </w:r>
          </w:p>
        </w:tc>
        <w:tc>
          <w:tcPr>
            <w:tcW w:w="1101" w:type="dxa"/>
            <w:noWrap w:val="0"/>
            <w:vAlign w:val="center"/>
          </w:tcPr>
          <w:p w14:paraId="4AC0631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0A6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67136C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2DB85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AE01BA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1.2.2</w:t>
            </w:r>
          </w:p>
        </w:tc>
        <w:tc>
          <w:tcPr>
            <w:tcW w:w="5070" w:type="dxa"/>
            <w:noWrap w:val="0"/>
            <w:vAlign w:val="center"/>
          </w:tcPr>
          <w:p w14:paraId="6DE475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支持对特殊方药提供保密功能。</w:t>
            </w:r>
          </w:p>
        </w:tc>
        <w:tc>
          <w:tcPr>
            <w:tcW w:w="1101" w:type="dxa"/>
            <w:noWrap w:val="0"/>
            <w:vAlign w:val="center"/>
          </w:tcPr>
          <w:p w14:paraId="55F197C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366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BAAA97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C7EF6D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15ACE1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1.2.3</w:t>
            </w:r>
          </w:p>
        </w:tc>
        <w:tc>
          <w:tcPr>
            <w:tcW w:w="5070" w:type="dxa"/>
            <w:noWrap w:val="0"/>
            <w:vAlign w:val="center"/>
          </w:tcPr>
          <w:p w14:paraId="10DAB15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提供节气、煎法、服法等信息结构化录入功能。</w:t>
            </w:r>
          </w:p>
        </w:tc>
        <w:tc>
          <w:tcPr>
            <w:tcW w:w="1101" w:type="dxa"/>
            <w:noWrap w:val="0"/>
            <w:vAlign w:val="center"/>
          </w:tcPr>
          <w:p w14:paraId="01530F9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AB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E93CC6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C41144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61C315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1.2.4</w:t>
            </w:r>
          </w:p>
        </w:tc>
        <w:tc>
          <w:tcPr>
            <w:tcW w:w="5070" w:type="dxa"/>
            <w:noWrap w:val="0"/>
            <w:vAlign w:val="center"/>
          </w:tcPr>
          <w:p w14:paraId="368800D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支持通过AI自动生成处方，可借鉴名医医案中的经典处方及医学典籍中的处方，支持一键引方或智能开方功能。</w:t>
            </w:r>
          </w:p>
        </w:tc>
        <w:tc>
          <w:tcPr>
            <w:tcW w:w="1101" w:type="dxa"/>
            <w:noWrap w:val="0"/>
            <w:vAlign w:val="center"/>
          </w:tcPr>
          <w:p w14:paraId="544E75D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5D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61A02B6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中医护理管理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233EFEA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中医护理</w:t>
            </w:r>
          </w:p>
          <w:p w14:paraId="051AED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952" w:type="dxa"/>
            <w:noWrap w:val="0"/>
            <w:vAlign w:val="center"/>
          </w:tcPr>
          <w:p w14:paraId="2DF5B8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2.1.1</w:t>
            </w:r>
          </w:p>
        </w:tc>
        <w:tc>
          <w:tcPr>
            <w:tcW w:w="5070" w:type="dxa"/>
            <w:noWrap w:val="0"/>
            <w:vAlign w:val="center"/>
          </w:tcPr>
          <w:p w14:paraId="6DEA496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护理评估时能够自动推荐与患者病情相适应的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护理评估模板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提供中医护理评估信息、护理计划引用功能。</w:t>
            </w:r>
          </w:p>
        </w:tc>
        <w:tc>
          <w:tcPr>
            <w:tcW w:w="1101" w:type="dxa"/>
            <w:noWrap w:val="0"/>
            <w:vAlign w:val="center"/>
          </w:tcPr>
          <w:p w14:paraId="728F727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29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00CD7E7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584099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6C7EF60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2.1.2</w:t>
            </w:r>
            <w:bookmarkEnd w:id="0"/>
          </w:p>
        </w:tc>
        <w:tc>
          <w:tcPr>
            <w:tcW w:w="5070" w:type="dxa"/>
            <w:shd w:val="clear" w:color="auto" w:fill="auto"/>
            <w:noWrap w:val="0"/>
            <w:vAlign w:val="center"/>
          </w:tcPr>
          <w:p w14:paraId="74E3ED9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提供中医整体护理文书书写功能，体现生活起居护理、饮食护理、用药护理、情志护理、康复护理、专科护理等护理操作内容。</w:t>
            </w:r>
          </w:p>
        </w:tc>
        <w:tc>
          <w:tcPr>
            <w:tcW w:w="1101" w:type="dxa"/>
            <w:noWrap w:val="0"/>
            <w:vAlign w:val="center"/>
          </w:tcPr>
          <w:p w14:paraId="2B6AFB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CB0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2C78BF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E0A2C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3A8091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70" w:type="dxa"/>
            <w:noWrap w:val="0"/>
            <w:vAlign w:val="center"/>
          </w:tcPr>
          <w:p w14:paraId="47AF92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对于高感染风险患者有完整护理记录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，包括：气管插管、胃管、尿管、中心静脉插管、呼吸机辅助呼吸、长期卧床等。</w:t>
            </w:r>
          </w:p>
        </w:tc>
        <w:tc>
          <w:tcPr>
            <w:tcW w:w="1101" w:type="dxa"/>
            <w:noWrap w:val="0"/>
            <w:vAlign w:val="center"/>
          </w:tcPr>
          <w:p w14:paraId="3761F7B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0E1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E57C63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62C9CE6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F213C0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70" w:type="dxa"/>
            <w:noWrap w:val="0"/>
            <w:vAlign w:val="center"/>
          </w:tcPr>
          <w:p w14:paraId="289816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能够自动辅助生成医疗运行管理和质量控制所需报表，实现事后管理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生成较全面的护理情况日报；具有护理质控知识库，并在业务系统中利用规则库进行实时提示。</w:t>
            </w:r>
          </w:p>
        </w:tc>
        <w:tc>
          <w:tcPr>
            <w:tcW w:w="1101" w:type="dxa"/>
            <w:noWrap w:val="0"/>
            <w:vAlign w:val="center"/>
          </w:tcPr>
          <w:p w14:paraId="6F2952F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6A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2B07DC5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中医特色治疗</w:t>
            </w:r>
          </w:p>
        </w:tc>
        <w:tc>
          <w:tcPr>
            <w:tcW w:w="1428" w:type="dxa"/>
            <w:noWrap w:val="0"/>
            <w:vAlign w:val="center"/>
          </w:tcPr>
          <w:p w14:paraId="22C46D4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治疗管理</w:t>
            </w:r>
          </w:p>
          <w:p w14:paraId="3DDB454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与评价</w:t>
            </w:r>
          </w:p>
        </w:tc>
        <w:tc>
          <w:tcPr>
            <w:tcW w:w="952" w:type="dxa"/>
            <w:noWrap w:val="0"/>
            <w:vAlign w:val="center"/>
          </w:tcPr>
          <w:p w14:paraId="0439EC2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3.1.1</w:t>
            </w:r>
          </w:p>
        </w:tc>
        <w:tc>
          <w:tcPr>
            <w:tcW w:w="5070" w:type="dxa"/>
            <w:noWrap w:val="0"/>
            <w:vAlign w:val="center"/>
          </w:tcPr>
          <w:p w14:paraId="06DF3D4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有每次治疗的登记或执行记录，治疗记录内容包括治疗计划、时间、项目、治疗师等，具备患者身份机读核验功能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支持中医治疗（如针灸、推拿、刮痧等）执行过程管理与评价。</w:t>
            </w:r>
          </w:p>
        </w:tc>
        <w:tc>
          <w:tcPr>
            <w:tcW w:w="1101" w:type="dxa"/>
            <w:noWrap w:val="0"/>
            <w:vAlign w:val="center"/>
          </w:tcPr>
          <w:p w14:paraId="75271B1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C7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9500E5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2DDE12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中医特色治疗疗效 AI 跟踪</w:t>
            </w:r>
          </w:p>
        </w:tc>
        <w:tc>
          <w:tcPr>
            <w:tcW w:w="952" w:type="dxa"/>
            <w:noWrap w:val="0"/>
            <w:vAlign w:val="center"/>
          </w:tcPr>
          <w:p w14:paraId="3352661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3.1.2</w:t>
            </w:r>
          </w:p>
        </w:tc>
        <w:tc>
          <w:tcPr>
            <w:tcW w:w="5070" w:type="dxa"/>
            <w:noWrap w:val="0"/>
            <w:vAlign w:val="center"/>
          </w:tcPr>
          <w:p w14:paraId="18CD12B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支持对针灸、推拿等治疗项目的疗效进行量化跟踪，通过治疗前后症状评分（如疼痛VAS 评分、失眠PSQI评分）的AI对比分析，生成疗效评估报告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53A9FD9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11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2CB3E79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中医随访管理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3BF5777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患者随访</w:t>
            </w:r>
          </w:p>
        </w:tc>
        <w:tc>
          <w:tcPr>
            <w:tcW w:w="952" w:type="dxa"/>
            <w:noWrap w:val="0"/>
            <w:vAlign w:val="center"/>
          </w:tcPr>
          <w:p w14:paraId="138EADB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4.1.1</w:t>
            </w:r>
          </w:p>
        </w:tc>
        <w:tc>
          <w:tcPr>
            <w:tcW w:w="5070" w:type="dxa"/>
            <w:noWrap w:val="0"/>
            <w:vAlign w:val="center"/>
          </w:tcPr>
          <w:p w14:paraId="1ABE32C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支持基于中医特色的患者随访（支持根据中医诊断、中医证候诊断或其它规则，创建随访量表）。</w:t>
            </w:r>
          </w:p>
        </w:tc>
        <w:tc>
          <w:tcPr>
            <w:tcW w:w="1101" w:type="dxa"/>
            <w:noWrap w:val="0"/>
            <w:vAlign w:val="center"/>
          </w:tcPr>
          <w:p w14:paraId="602B7A4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2BD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EC8DF5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F8A34F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E1F104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4.1.2</w:t>
            </w:r>
          </w:p>
        </w:tc>
        <w:tc>
          <w:tcPr>
            <w:tcW w:w="5070" w:type="dxa"/>
            <w:noWrap w:val="0"/>
            <w:vAlign w:val="center"/>
          </w:tcPr>
          <w:p w14:paraId="3091CE1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支持根据患者中医体质、证型演变及病情轻重，灵活设置个性化随访周期。</w:t>
            </w:r>
          </w:p>
        </w:tc>
        <w:tc>
          <w:tcPr>
            <w:tcW w:w="1101" w:type="dxa"/>
            <w:noWrap w:val="0"/>
            <w:vAlign w:val="center"/>
          </w:tcPr>
          <w:p w14:paraId="074B9CE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A6E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BD1919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55CC1DD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FCE7F5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4.1.3</w:t>
            </w:r>
          </w:p>
        </w:tc>
        <w:tc>
          <w:tcPr>
            <w:tcW w:w="5070" w:type="dxa"/>
            <w:noWrap w:val="0"/>
            <w:vAlign w:val="center"/>
          </w:tcPr>
          <w:p w14:paraId="2634612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随访数据可辅助医生回溯中医干预效果，为中药处方、体质调理方案调整提供依据。</w:t>
            </w:r>
          </w:p>
        </w:tc>
        <w:tc>
          <w:tcPr>
            <w:tcW w:w="1101" w:type="dxa"/>
            <w:noWrap w:val="0"/>
            <w:vAlign w:val="center"/>
          </w:tcPr>
          <w:p w14:paraId="16BFCD0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8F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05CE8E0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病历质量管理与控制</w:t>
            </w:r>
          </w:p>
        </w:tc>
        <w:tc>
          <w:tcPr>
            <w:tcW w:w="1428" w:type="dxa"/>
            <w:noWrap w:val="0"/>
            <w:vAlign w:val="center"/>
          </w:tcPr>
          <w:p w14:paraId="7928A01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中医病历首页质控</w:t>
            </w:r>
          </w:p>
        </w:tc>
        <w:tc>
          <w:tcPr>
            <w:tcW w:w="952" w:type="dxa"/>
            <w:noWrap w:val="0"/>
            <w:vAlign w:val="center"/>
          </w:tcPr>
          <w:p w14:paraId="1F21B24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5.1.1</w:t>
            </w:r>
          </w:p>
        </w:tc>
        <w:tc>
          <w:tcPr>
            <w:tcW w:w="5070" w:type="dxa"/>
            <w:noWrap w:val="0"/>
            <w:vAlign w:val="center"/>
          </w:tcPr>
          <w:p w14:paraId="6309EC3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实现中医病历首页质控，包括内容完整性、逻辑校验等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应按照《中医病历书写基本规范》的中医特色内容项目检查。</w:t>
            </w:r>
          </w:p>
        </w:tc>
        <w:tc>
          <w:tcPr>
            <w:tcW w:w="1101" w:type="dxa"/>
            <w:noWrap w:val="0"/>
            <w:vAlign w:val="center"/>
          </w:tcPr>
          <w:p w14:paraId="011CA86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62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8953DF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noWrap w:val="0"/>
            <w:vAlign w:val="center"/>
          </w:tcPr>
          <w:p w14:paraId="6FDD908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中医病历内容质控</w:t>
            </w:r>
          </w:p>
        </w:tc>
        <w:tc>
          <w:tcPr>
            <w:tcW w:w="952" w:type="dxa"/>
            <w:noWrap w:val="0"/>
            <w:vAlign w:val="center"/>
          </w:tcPr>
          <w:p w14:paraId="5EFE8F7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5.2.1</w:t>
            </w:r>
          </w:p>
        </w:tc>
        <w:tc>
          <w:tcPr>
            <w:tcW w:w="5070" w:type="dxa"/>
            <w:noWrap w:val="0"/>
            <w:vAlign w:val="center"/>
          </w:tcPr>
          <w:p w14:paraId="5ED86F2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支持对中医病历内容基本质控，包括病历完整性、书写时效性、逻辑校验等。</w:t>
            </w:r>
          </w:p>
        </w:tc>
        <w:tc>
          <w:tcPr>
            <w:tcW w:w="1101" w:type="dxa"/>
            <w:noWrap w:val="0"/>
            <w:vAlign w:val="center"/>
          </w:tcPr>
          <w:p w14:paraId="0E94EDF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2B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E6B463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823DD7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51C2CC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5.2.2</w:t>
            </w:r>
          </w:p>
        </w:tc>
        <w:tc>
          <w:tcPr>
            <w:tcW w:w="5070" w:type="dxa"/>
            <w:noWrap w:val="0"/>
            <w:vAlign w:val="center"/>
          </w:tcPr>
          <w:p w14:paraId="08C64A1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支持中医病历内涵质控，包括病史记录规范性,辨证分析、理法方药使用一致性等。</w:t>
            </w:r>
          </w:p>
        </w:tc>
        <w:tc>
          <w:tcPr>
            <w:tcW w:w="1101" w:type="dxa"/>
            <w:noWrap w:val="0"/>
            <w:vAlign w:val="center"/>
          </w:tcPr>
          <w:p w14:paraId="6A3541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A8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0C04163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2572E9F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D0DF0D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5.2.3</w:t>
            </w:r>
          </w:p>
        </w:tc>
        <w:tc>
          <w:tcPr>
            <w:tcW w:w="5070" w:type="dxa"/>
            <w:noWrap w:val="0"/>
            <w:vAlign w:val="center"/>
          </w:tcPr>
          <w:p w14:paraId="652D6D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强化中医专属要素质控，确保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四诊数据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记录、中医证型、理法方药对应关系等核心内容规范完整。</w:t>
            </w:r>
          </w:p>
        </w:tc>
        <w:tc>
          <w:tcPr>
            <w:tcW w:w="1101" w:type="dxa"/>
            <w:noWrap w:val="0"/>
            <w:vAlign w:val="center"/>
          </w:tcPr>
          <w:p w14:paraId="43F93FB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878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175E6A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0B82CD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4433A0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5.2.4</w:t>
            </w:r>
          </w:p>
        </w:tc>
        <w:tc>
          <w:tcPr>
            <w:tcW w:w="5070" w:type="dxa"/>
            <w:noWrap w:val="0"/>
            <w:vAlign w:val="center"/>
          </w:tcPr>
          <w:p w14:paraId="58D8314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支持质控问题分级标注与整改跟踪，形成 “发现-反馈-整改-复查”的闭环管理机制。</w:t>
            </w:r>
          </w:p>
        </w:tc>
        <w:tc>
          <w:tcPr>
            <w:tcW w:w="1101" w:type="dxa"/>
            <w:noWrap w:val="0"/>
            <w:vAlign w:val="center"/>
          </w:tcPr>
          <w:p w14:paraId="3988BFA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489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3E5E48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中医病历数据分析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427CF22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数据分析</w:t>
            </w:r>
          </w:p>
        </w:tc>
        <w:tc>
          <w:tcPr>
            <w:tcW w:w="952" w:type="dxa"/>
            <w:noWrap w:val="0"/>
            <w:vAlign w:val="center"/>
          </w:tcPr>
          <w:p w14:paraId="29FF248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6.1.1</w:t>
            </w:r>
          </w:p>
        </w:tc>
        <w:tc>
          <w:tcPr>
            <w:tcW w:w="5070" w:type="dxa"/>
            <w:noWrap w:val="0"/>
            <w:vAlign w:val="center"/>
          </w:tcPr>
          <w:p w14:paraId="5F069CB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提供中医药特色指标的统计分析，包括中医优势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病种管理、中医医疗质量监测指标等的统计分析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695281B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EA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48A24E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9AADD3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53EFDE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6.1.2</w:t>
            </w:r>
          </w:p>
        </w:tc>
        <w:tc>
          <w:tcPr>
            <w:tcW w:w="5070" w:type="dxa"/>
            <w:noWrap w:val="0"/>
            <w:vAlign w:val="center"/>
          </w:tcPr>
          <w:p w14:paraId="3097EDA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可按照任意病历结构化项目进行检索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和查询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60C169E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60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1063A6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3BAB97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83B876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6.1.3</w:t>
            </w:r>
          </w:p>
        </w:tc>
        <w:tc>
          <w:tcPr>
            <w:tcW w:w="5070" w:type="dxa"/>
            <w:noWrap w:val="0"/>
            <w:vAlign w:val="center"/>
          </w:tcPr>
          <w:p w14:paraId="0E62A8F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基于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中医门诊和住院电子病历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数据可自动辅助生成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中医公立医院绩效考核指标和中医综合统计上报指标，并支持指标下钻层级查询分析。</w:t>
            </w:r>
          </w:p>
        </w:tc>
        <w:tc>
          <w:tcPr>
            <w:tcW w:w="1101" w:type="dxa"/>
            <w:noWrap w:val="0"/>
            <w:vAlign w:val="center"/>
          </w:tcPr>
          <w:p w14:paraId="1569890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66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CE1785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C62246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9A1B5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6.1.4</w:t>
            </w:r>
          </w:p>
        </w:tc>
        <w:tc>
          <w:tcPr>
            <w:tcW w:w="5070" w:type="dxa"/>
            <w:noWrap w:val="0"/>
            <w:vAlign w:val="center"/>
          </w:tcPr>
          <w:p w14:paraId="17A2B15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病历归档符合OFD格式，并可按照病历归集习惯进行集中展示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；支持OFD管理的文档调阅、浏览。</w:t>
            </w:r>
          </w:p>
        </w:tc>
        <w:tc>
          <w:tcPr>
            <w:tcW w:w="1101" w:type="dxa"/>
            <w:noWrap w:val="0"/>
            <w:vAlign w:val="center"/>
          </w:tcPr>
          <w:p w14:paraId="08EE03F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B0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D26BA2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中医临床路径</w:t>
            </w:r>
          </w:p>
        </w:tc>
        <w:tc>
          <w:tcPr>
            <w:tcW w:w="1428" w:type="dxa"/>
            <w:noWrap w:val="0"/>
            <w:vAlign w:val="center"/>
          </w:tcPr>
          <w:p w14:paraId="27613F1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路径内容</w:t>
            </w:r>
          </w:p>
          <w:p w14:paraId="2BEFFED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定义</w:t>
            </w:r>
          </w:p>
        </w:tc>
        <w:tc>
          <w:tcPr>
            <w:tcW w:w="952" w:type="dxa"/>
            <w:noWrap w:val="0"/>
            <w:vAlign w:val="center"/>
          </w:tcPr>
          <w:p w14:paraId="4DCD54E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7.1.1</w:t>
            </w:r>
          </w:p>
        </w:tc>
        <w:tc>
          <w:tcPr>
            <w:tcW w:w="5070" w:type="dxa"/>
            <w:noWrap w:val="0"/>
            <w:vAlign w:val="center"/>
          </w:tcPr>
          <w:p w14:paraId="59067F0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支持中医临床路径中常规诊疗项目维护，包括中药饮片维护、护理项目维护、中医特色治疗项目维护等。</w:t>
            </w:r>
          </w:p>
        </w:tc>
        <w:tc>
          <w:tcPr>
            <w:tcW w:w="1101" w:type="dxa"/>
            <w:noWrap w:val="0"/>
            <w:vAlign w:val="center"/>
          </w:tcPr>
          <w:p w14:paraId="193E7D0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FE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D4196C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1AC538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入出径管理</w:t>
            </w:r>
          </w:p>
        </w:tc>
        <w:tc>
          <w:tcPr>
            <w:tcW w:w="952" w:type="dxa"/>
            <w:noWrap w:val="0"/>
            <w:vAlign w:val="center"/>
          </w:tcPr>
          <w:p w14:paraId="15FA4E4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7.2.1</w:t>
            </w:r>
          </w:p>
        </w:tc>
        <w:tc>
          <w:tcPr>
            <w:tcW w:w="5070" w:type="dxa"/>
            <w:noWrap w:val="0"/>
            <w:vAlign w:val="center"/>
          </w:tcPr>
          <w:p w14:paraId="4669F49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支持自动入径，可根据中医诊断、中医证候诊断或其它入径规则，智能判断患者是否进入临床路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径，并提供相应的临床路径供临床医生自主选择。</w:t>
            </w:r>
          </w:p>
        </w:tc>
        <w:tc>
          <w:tcPr>
            <w:tcW w:w="1101" w:type="dxa"/>
            <w:noWrap w:val="0"/>
            <w:vAlign w:val="center"/>
          </w:tcPr>
          <w:p w14:paraId="170475F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A2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3A9F326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A7EAB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中医临床路径偏离智能预警</w:t>
            </w:r>
          </w:p>
        </w:tc>
        <w:tc>
          <w:tcPr>
            <w:tcW w:w="952" w:type="dxa"/>
            <w:noWrap w:val="0"/>
            <w:vAlign w:val="center"/>
          </w:tcPr>
          <w:p w14:paraId="46F6557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7.2.2 </w:t>
            </w:r>
          </w:p>
        </w:tc>
        <w:tc>
          <w:tcPr>
            <w:tcW w:w="5070" w:type="dxa"/>
            <w:noWrap w:val="0"/>
            <w:vAlign w:val="center"/>
          </w:tcPr>
          <w:p w14:paraId="47655C8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当患者诊疗过程偏离中医临床路径（如未按路径开具中药汤剂）时，系统自动触发预警，提示医师偏离原因（如患者药物过敏）并提供路径调整建议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4196DF4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ED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85D2B3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C497B2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统计分析</w:t>
            </w:r>
          </w:p>
        </w:tc>
        <w:tc>
          <w:tcPr>
            <w:tcW w:w="952" w:type="dxa"/>
            <w:noWrap w:val="0"/>
            <w:vAlign w:val="center"/>
          </w:tcPr>
          <w:p w14:paraId="16458B0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7.3.1</w:t>
            </w:r>
          </w:p>
        </w:tc>
        <w:tc>
          <w:tcPr>
            <w:tcW w:w="5070" w:type="dxa"/>
            <w:noWrap w:val="0"/>
            <w:vAlign w:val="center"/>
          </w:tcPr>
          <w:p w14:paraId="2B2C62D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支持按照中医临床路径相关内容的统计和分析。</w:t>
            </w:r>
          </w:p>
        </w:tc>
        <w:tc>
          <w:tcPr>
            <w:tcW w:w="1101" w:type="dxa"/>
            <w:noWrap w:val="0"/>
            <w:vAlign w:val="center"/>
          </w:tcPr>
          <w:p w14:paraId="07BBEDA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03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7C39031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中医辅助诊疗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157DB51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中医知识库</w:t>
            </w:r>
          </w:p>
        </w:tc>
        <w:tc>
          <w:tcPr>
            <w:tcW w:w="952" w:type="dxa"/>
            <w:noWrap w:val="0"/>
            <w:vAlign w:val="center"/>
          </w:tcPr>
          <w:p w14:paraId="2041BD4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8.1.1</w:t>
            </w:r>
          </w:p>
        </w:tc>
        <w:tc>
          <w:tcPr>
            <w:tcW w:w="5070" w:type="dxa"/>
            <w:noWrap w:val="0"/>
            <w:vAlign w:val="center"/>
          </w:tcPr>
          <w:p w14:paraId="4EFF8E1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建立既往典型病例及医案、外部科技文献、古籍、循证文献、中医诊疗指南等知识库，并可随时调阅或引用。</w:t>
            </w:r>
          </w:p>
        </w:tc>
        <w:tc>
          <w:tcPr>
            <w:tcW w:w="1101" w:type="dxa"/>
            <w:noWrap w:val="0"/>
            <w:vAlign w:val="center"/>
          </w:tcPr>
          <w:p w14:paraId="7E54CA8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30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83E9E0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9F5EBC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03EE5B0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8.1.2</w:t>
            </w:r>
          </w:p>
        </w:tc>
        <w:tc>
          <w:tcPr>
            <w:tcW w:w="5070" w:type="dxa"/>
            <w:shd w:val="clear" w:color="auto" w:fill="auto"/>
            <w:noWrap w:val="0"/>
            <w:vAlign w:val="center"/>
          </w:tcPr>
          <w:p w14:paraId="0E5BA16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支持药品说明书、中药用药禁忌等药品知识库。</w:t>
            </w:r>
          </w:p>
        </w:tc>
        <w:tc>
          <w:tcPr>
            <w:tcW w:w="1101" w:type="dxa"/>
            <w:noWrap w:val="0"/>
            <w:vAlign w:val="center"/>
          </w:tcPr>
          <w:p w14:paraId="1510624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680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756512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5C25E21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5D02E9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8.1.3</w:t>
            </w:r>
          </w:p>
        </w:tc>
        <w:tc>
          <w:tcPr>
            <w:tcW w:w="5070" w:type="dxa"/>
            <w:noWrap w:val="0"/>
            <w:vAlign w:val="center"/>
          </w:tcPr>
          <w:p w14:paraId="60B119D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宋体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具备诊断库、医学术语库、电子病历模板库、病历质控规则库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检验检查字典、手术治疗字典、医保控费等知识库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并支持业务系统按需调用。</w:t>
            </w:r>
          </w:p>
        </w:tc>
        <w:tc>
          <w:tcPr>
            <w:tcW w:w="1101" w:type="dxa"/>
            <w:noWrap w:val="0"/>
            <w:vAlign w:val="center"/>
          </w:tcPr>
          <w:p w14:paraId="1F53244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959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618069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noWrap w:val="0"/>
            <w:vAlign w:val="center"/>
          </w:tcPr>
          <w:p w14:paraId="01DA1A1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智能审方</w:t>
            </w:r>
          </w:p>
        </w:tc>
        <w:tc>
          <w:tcPr>
            <w:tcW w:w="952" w:type="dxa"/>
            <w:noWrap w:val="0"/>
            <w:vAlign w:val="center"/>
          </w:tcPr>
          <w:p w14:paraId="0C9E9C7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8.2.1</w:t>
            </w:r>
          </w:p>
        </w:tc>
        <w:tc>
          <w:tcPr>
            <w:tcW w:w="5070" w:type="dxa"/>
            <w:noWrap w:val="0"/>
            <w:vAlign w:val="center"/>
          </w:tcPr>
          <w:p w14:paraId="02170C1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支持中药处方配伍禁忌审查、中药处方中重复用药警示等功能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如中医医嘱应能够进行十八反、十九畏等检查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7C70479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E1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94FDD0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C570D9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76CB49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8.2.2</w:t>
            </w:r>
          </w:p>
        </w:tc>
        <w:tc>
          <w:tcPr>
            <w:tcW w:w="5070" w:type="dxa"/>
            <w:noWrap w:val="0"/>
            <w:vAlign w:val="center"/>
          </w:tcPr>
          <w:p w14:paraId="1F89F90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具有中医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合理用药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功能，支持在线审方、事后点评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 w14:paraId="4E0B5D7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6D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8950C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noWrap w:val="0"/>
            <w:vAlign w:val="center"/>
          </w:tcPr>
          <w:p w14:paraId="29238B7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辅助决策</w:t>
            </w:r>
          </w:p>
        </w:tc>
        <w:tc>
          <w:tcPr>
            <w:tcW w:w="952" w:type="dxa"/>
            <w:noWrap w:val="0"/>
            <w:vAlign w:val="center"/>
          </w:tcPr>
          <w:p w14:paraId="73888F7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8.3.1</w:t>
            </w:r>
          </w:p>
        </w:tc>
        <w:tc>
          <w:tcPr>
            <w:tcW w:w="5070" w:type="dxa"/>
            <w:noWrap w:val="0"/>
            <w:vAlign w:val="center"/>
          </w:tcPr>
          <w:p w14:paraId="0121F14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支持根据名老中医知识库或古籍知识库等进行智能辅助决策支持，如中医智能诊疗推荐、名医名案推荐等。</w:t>
            </w:r>
          </w:p>
        </w:tc>
        <w:tc>
          <w:tcPr>
            <w:tcW w:w="1101" w:type="dxa"/>
            <w:noWrap w:val="0"/>
            <w:vAlign w:val="center"/>
          </w:tcPr>
          <w:p w14:paraId="743DB85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9D8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6C45B0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3277C4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170FED4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8.3.2</w:t>
            </w:r>
          </w:p>
        </w:tc>
        <w:tc>
          <w:tcPr>
            <w:tcW w:w="5070" w:type="dxa"/>
            <w:shd w:val="clear" w:color="auto" w:fill="auto"/>
            <w:noWrap w:val="0"/>
            <w:vAlign w:val="center"/>
          </w:tcPr>
          <w:p w14:paraId="2F9296A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支持结合面象、舌象、脉象、症状等信息开展智能评估，并生成病历记录，如证候、治则治法、决策过程等辨证信息。</w:t>
            </w:r>
          </w:p>
        </w:tc>
        <w:tc>
          <w:tcPr>
            <w:tcW w:w="1101" w:type="dxa"/>
            <w:noWrap w:val="0"/>
            <w:vAlign w:val="center"/>
          </w:tcPr>
          <w:p w14:paraId="09C90CF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6A7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3B51C54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C9B88D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93CA69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8.3.3</w:t>
            </w:r>
          </w:p>
        </w:tc>
        <w:tc>
          <w:tcPr>
            <w:tcW w:w="5070" w:type="dxa"/>
            <w:noWrap w:val="0"/>
            <w:vAlign w:val="center"/>
          </w:tcPr>
          <w:p w14:paraId="02D423D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医护开展居民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中医体质辨识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系统根据体质辨识结果自动提供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中医药健康咨询、中医药保健指导、中医药健康指导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等内容。</w:t>
            </w:r>
          </w:p>
        </w:tc>
        <w:tc>
          <w:tcPr>
            <w:tcW w:w="1101" w:type="dxa"/>
            <w:noWrap w:val="0"/>
            <w:vAlign w:val="center"/>
          </w:tcPr>
          <w:p w14:paraId="43781B3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278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08A5412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互联网中医院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08A4736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互联网中医医院建立</w:t>
            </w:r>
          </w:p>
        </w:tc>
        <w:tc>
          <w:tcPr>
            <w:tcW w:w="952" w:type="dxa"/>
            <w:noWrap w:val="0"/>
            <w:vAlign w:val="center"/>
          </w:tcPr>
          <w:p w14:paraId="124CC17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9.1.1</w:t>
            </w:r>
          </w:p>
        </w:tc>
        <w:tc>
          <w:tcPr>
            <w:tcW w:w="5070" w:type="dxa"/>
            <w:noWrap w:val="0"/>
            <w:vAlign w:val="center"/>
          </w:tcPr>
          <w:p w14:paraId="5A8BD7F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建立互联网中医医院，开展线上线下一体化诊疗。</w:t>
            </w:r>
          </w:p>
        </w:tc>
        <w:tc>
          <w:tcPr>
            <w:tcW w:w="1101" w:type="dxa"/>
            <w:noWrap w:val="0"/>
            <w:vAlign w:val="center"/>
          </w:tcPr>
          <w:p w14:paraId="461ED53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5D7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08A0D5E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6AD6D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20E0E30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9.1.2</w:t>
            </w:r>
          </w:p>
        </w:tc>
        <w:tc>
          <w:tcPr>
            <w:tcW w:w="5070" w:type="dxa"/>
            <w:noWrap w:val="0"/>
            <w:vAlign w:val="center"/>
          </w:tcPr>
          <w:p w14:paraId="301A52C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支持图文问诊、视频问诊。</w:t>
            </w:r>
          </w:p>
        </w:tc>
        <w:tc>
          <w:tcPr>
            <w:tcW w:w="1101" w:type="dxa"/>
            <w:noWrap w:val="0"/>
            <w:vAlign w:val="center"/>
          </w:tcPr>
          <w:p w14:paraId="792797D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CC0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6A3FD3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74E999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线上服务</w:t>
            </w:r>
          </w:p>
        </w:tc>
        <w:tc>
          <w:tcPr>
            <w:tcW w:w="952" w:type="dxa"/>
            <w:noWrap w:val="0"/>
            <w:vAlign w:val="center"/>
          </w:tcPr>
          <w:p w14:paraId="7C8D488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9.2.1</w:t>
            </w:r>
          </w:p>
        </w:tc>
        <w:tc>
          <w:tcPr>
            <w:tcW w:w="5070" w:type="dxa"/>
            <w:noWrap w:val="0"/>
            <w:vAlign w:val="center"/>
          </w:tcPr>
          <w:p w14:paraId="36D364E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支持中医特色的线上问诊、中药处方开立、中药审方、中药代煎配送等功能。</w:t>
            </w:r>
          </w:p>
        </w:tc>
        <w:tc>
          <w:tcPr>
            <w:tcW w:w="1101" w:type="dxa"/>
            <w:noWrap w:val="0"/>
            <w:vAlign w:val="center"/>
          </w:tcPr>
          <w:p w14:paraId="4AC2463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4E2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4A68DA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00C322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上门服务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 w14:paraId="23EE656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9.3.1</w:t>
            </w:r>
          </w:p>
        </w:tc>
        <w:tc>
          <w:tcPr>
            <w:tcW w:w="5070" w:type="dxa"/>
            <w:shd w:val="clear" w:color="auto" w:fill="auto"/>
            <w:noWrap w:val="0"/>
            <w:vAlign w:val="center"/>
          </w:tcPr>
          <w:p w14:paraId="73300C2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支持医技护上门服务、人员定位、便捷支付、消息推送、服务评价、全流程监管等功能。</w:t>
            </w:r>
          </w:p>
        </w:tc>
        <w:tc>
          <w:tcPr>
            <w:tcW w:w="1101" w:type="dxa"/>
            <w:noWrap w:val="0"/>
            <w:vAlign w:val="center"/>
          </w:tcPr>
          <w:p w14:paraId="68B4A04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FC9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1F8D2A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7DD43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智能体测</w:t>
            </w:r>
          </w:p>
        </w:tc>
        <w:tc>
          <w:tcPr>
            <w:tcW w:w="952" w:type="dxa"/>
            <w:noWrap w:val="0"/>
            <w:vAlign w:val="center"/>
          </w:tcPr>
          <w:p w14:paraId="36878C7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9.3.1</w:t>
            </w:r>
          </w:p>
        </w:tc>
        <w:tc>
          <w:tcPr>
            <w:tcW w:w="5070" w:type="dxa"/>
            <w:noWrap w:val="0"/>
            <w:vAlign w:val="center"/>
          </w:tcPr>
          <w:p w14:paraId="6B37189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贴合中医辨证论治原则，采集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体质、舌象、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面相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等中医专属信息，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为患者提供健康风险预测和健康指导服务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，能联动中医线上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门诊挂号、健康宣教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等功能。</w:t>
            </w:r>
          </w:p>
        </w:tc>
        <w:tc>
          <w:tcPr>
            <w:tcW w:w="1101" w:type="dxa"/>
            <w:noWrap w:val="0"/>
            <w:vAlign w:val="center"/>
          </w:tcPr>
          <w:p w14:paraId="412A58A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5C5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31028B5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73F078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电子签名</w:t>
            </w:r>
          </w:p>
        </w:tc>
        <w:tc>
          <w:tcPr>
            <w:tcW w:w="952" w:type="dxa"/>
            <w:noWrap w:val="0"/>
            <w:vAlign w:val="center"/>
          </w:tcPr>
          <w:p w14:paraId="6BF67BD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9.4.1</w:t>
            </w:r>
          </w:p>
        </w:tc>
        <w:tc>
          <w:tcPr>
            <w:tcW w:w="5070" w:type="dxa"/>
            <w:noWrap w:val="0"/>
            <w:vAlign w:val="center"/>
          </w:tcPr>
          <w:p w14:paraId="1D6ACB0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支持线上电子签名。</w:t>
            </w:r>
          </w:p>
        </w:tc>
        <w:tc>
          <w:tcPr>
            <w:tcW w:w="1101" w:type="dxa"/>
            <w:noWrap w:val="0"/>
            <w:vAlign w:val="center"/>
          </w:tcPr>
          <w:p w14:paraId="6C8C46B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7CC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186594F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数据共享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7D4B8E9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市县接口对接和业务协同</w:t>
            </w:r>
          </w:p>
        </w:tc>
        <w:tc>
          <w:tcPr>
            <w:tcW w:w="952" w:type="dxa"/>
            <w:noWrap w:val="0"/>
            <w:vAlign w:val="center"/>
          </w:tcPr>
          <w:p w14:paraId="6B432358">
            <w:pPr>
              <w:widowControl/>
              <w:suppressAutoHyphens/>
              <w:bidi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10.1.1</w:t>
            </w:r>
          </w:p>
        </w:tc>
        <w:tc>
          <w:tcPr>
            <w:tcW w:w="5070" w:type="dxa"/>
            <w:noWrap w:val="0"/>
            <w:vAlign w:val="center"/>
          </w:tcPr>
          <w:p w14:paraId="4F7280E8">
            <w:pPr>
              <w:widowControl/>
              <w:suppressAutoHyphens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按照省、市中医药管理局有关要求，完成诊疗数据上传，根据业务协同要求开展实时接口对接和改造。</w:t>
            </w:r>
          </w:p>
        </w:tc>
        <w:tc>
          <w:tcPr>
            <w:tcW w:w="1101" w:type="dxa"/>
            <w:noWrap w:val="0"/>
            <w:vAlign w:val="center"/>
          </w:tcPr>
          <w:p w14:paraId="5BB80EF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DD6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54E4453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5444D4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 w14:paraId="4E902865">
            <w:pPr>
              <w:widowControl/>
              <w:suppressAutoHyphens/>
              <w:bidi w:val="0"/>
              <w:spacing w:line="240" w:lineRule="auto"/>
              <w:ind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10.1.2</w:t>
            </w:r>
          </w:p>
        </w:tc>
        <w:tc>
          <w:tcPr>
            <w:tcW w:w="5070" w:type="dxa"/>
            <w:noWrap w:val="0"/>
            <w:vAlign w:val="center"/>
          </w:tcPr>
          <w:p w14:paraId="3F4E3698">
            <w:pPr>
              <w:widowControl/>
              <w:suppressAutoHyphens/>
              <w:bidi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在门诊、住院、辅检工作站，可查询患者本机构和外部医疗机构的主要医疗记录（包括：住院病案首页、门急诊病历、诊断证明书、住院医嘱、门诊处方、检验结果、检查报告：其他医疗机构记录实现不少于3类）。</w:t>
            </w:r>
          </w:p>
        </w:tc>
        <w:tc>
          <w:tcPr>
            <w:tcW w:w="1101" w:type="dxa"/>
            <w:noWrap w:val="0"/>
            <w:vAlign w:val="center"/>
          </w:tcPr>
          <w:p w14:paraId="3908CAA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1D66F6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（二）智慧中医医院（智慧中药房型）</w:t>
      </w:r>
    </w:p>
    <w:tbl>
      <w:tblPr>
        <w:tblStyle w:val="2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75"/>
        <w:gridCol w:w="857"/>
        <w:gridCol w:w="4763"/>
        <w:gridCol w:w="1340"/>
      </w:tblGrid>
      <w:tr w14:paraId="2A2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424" w:type="dxa"/>
            <w:shd w:val="clear" w:color="000000" w:fill="FFFFFF"/>
            <w:noWrap w:val="0"/>
            <w:vAlign w:val="center"/>
          </w:tcPr>
          <w:p w14:paraId="0C83A04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B32785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857" w:type="dxa"/>
            <w:shd w:val="clear" w:color="000000" w:fill="FFFFFF"/>
            <w:noWrap w:val="0"/>
            <w:vAlign w:val="center"/>
          </w:tcPr>
          <w:p w14:paraId="73C1237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763" w:type="dxa"/>
            <w:noWrap w:val="0"/>
            <w:vAlign w:val="center"/>
          </w:tcPr>
          <w:p w14:paraId="0D00822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主要评价内容</w:t>
            </w:r>
          </w:p>
        </w:tc>
        <w:tc>
          <w:tcPr>
            <w:tcW w:w="1340" w:type="dxa"/>
            <w:noWrap w:val="0"/>
            <w:vAlign w:val="top"/>
          </w:tcPr>
          <w:p w14:paraId="4DB3283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4A1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42D121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中药库房</w:t>
            </w:r>
          </w:p>
          <w:p w14:paraId="3E663A0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7CE19F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药品库房流程管理</w:t>
            </w:r>
          </w:p>
        </w:tc>
        <w:tc>
          <w:tcPr>
            <w:tcW w:w="857" w:type="dxa"/>
            <w:noWrap w:val="0"/>
            <w:vAlign w:val="center"/>
          </w:tcPr>
          <w:p w14:paraId="2633BD3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1.1.1</w:t>
            </w:r>
          </w:p>
        </w:tc>
        <w:tc>
          <w:tcPr>
            <w:tcW w:w="4763" w:type="dxa"/>
            <w:noWrap w:val="0"/>
            <w:vAlign w:val="center"/>
          </w:tcPr>
          <w:p w14:paraId="3E5F431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支持药品采购管理、验收入库管理、盘点管理、出库管理、退库管理等功能。</w:t>
            </w:r>
          </w:p>
        </w:tc>
        <w:tc>
          <w:tcPr>
            <w:tcW w:w="1340" w:type="dxa"/>
            <w:noWrap w:val="0"/>
            <w:vAlign w:val="top"/>
          </w:tcPr>
          <w:p w14:paraId="4A8C0D5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950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3AD0A66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684DC4D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F6C82A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1.1.2</w:t>
            </w:r>
          </w:p>
        </w:tc>
        <w:tc>
          <w:tcPr>
            <w:tcW w:w="4763" w:type="dxa"/>
            <w:noWrap w:val="0"/>
            <w:vAlign w:val="center"/>
          </w:tcPr>
          <w:p w14:paraId="3E3EEC6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智能养护和清斗管理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快速完成养护和清斗记录录入，实现中药养护管理、质控管理等，全程支持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移动端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操作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noWrap w:val="0"/>
            <w:vAlign w:val="top"/>
          </w:tcPr>
          <w:p w14:paraId="59763A1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88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F01137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75E9A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特殊药品管理</w:t>
            </w:r>
          </w:p>
        </w:tc>
        <w:tc>
          <w:tcPr>
            <w:tcW w:w="857" w:type="dxa"/>
            <w:noWrap w:val="0"/>
            <w:vAlign w:val="center"/>
          </w:tcPr>
          <w:p w14:paraId="4B47646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1.2.1</w:t>
            </w:r>
          </w:p>
        </w:tc>
        <w:tc>
          <w:tcPr>
            <w:tcW w:w="4763" w:type="dxa"/>
            <w:noWrap w:val="0"/>
            <w:vAlign w:val="center"/>
          </w:tcPr>
          <w:p w14:paraId="2F99944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支持对特殊药品（麻醉和毒性中草药药品）的五专管理，即专人管理、专用账册、专柜加锁、专用处方、专册登记。</w:t>
            </w:r>
          </w:p>
        </w:tc>
        <w:tc>
          <w:tcPr>
            <w:tcW w:w="1340" w:type="dxa"/>
            <w:noWrap w:val="0"/>
            <w:vAlign w:val="top"/>
          </w:tcPr>
          <w:p w14:paraId="4051AF9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329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D5A7B7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17F43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智能储存</w:t>
            </w:r>
          </w:p>
        </w:tc>
        <w:tc>
          <w:tcPr>
            <w:tcW w:w="857" w:type="dxa"/>
            <w:noWrap w:val="0"/>
            <w:vAlign w:val="center"/>
          </w:tcPr>
          <w:p w14:paraId="7C4F2B8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1.3.1</w:t>
            </w:r>
          </w:p>
        </w:tc>
        <w:tc>
          <w:tcPr>
            <w:tcW w:w="4763" w:type="dxa"/>
            <w:noWrap w:val="0"/>
            <w:vAlign w:val="center"/>
          </w:tcPr>
          <w:p w14:paraId="27FC1F8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支持药品智能上架、智能拣货、发药等。</w:t>
            </w:r>
          </w:p>
        </w:tc>
        <w:tc>
          <w:tcPr>
            <w:tcW w:w="1340" w:type="dxa"/>
            <w:noWrap w:val="0"/>
            <w:vAlign w:val="top"/>
          </w:tcPr>
          <w:p w14:paraId="0AF24D6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00A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7D29448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中药调剂</w:t>
            </w:r>
          </w:p>
          <w:p w14:paraId="580871F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1275" w:type="dxa"/>
            <w:noWrap w:val="0"/>
            <w:vAlign w:val="center"/>
          </w:tcPr>
          <w:p w14:paraId="70755616">
            <w:pPr>
              <w:widowControl/>
              <w:suppressAutoHyphens/>
              <w:bidi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4"/>
                <w:szCs w:val="24"/>
              </w:rPr>
              <w:t>接方、配药、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复核管理</w:t>
            </w:r>
          </w:p>
        </w:tc>
        <w:tc>
          <w:tcPr>
            <w:tcW w:w="857" w:type="dxa"/>
            <w:noWrap w:val="0"/>
            <w:vAlign w:val="center"/>
          </w:tcPr>
          <w:p w14:paraId="108B32A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2.1.1</w:t>
            </w:r>
          </w:p>
        </w:tc>
        <w:tc>
          <w:tcPr>
            <w:tcW w:w="4763" w:type="dxa"/>
            <w:noWrap w:val="0"/>
            <w:vAlign w:val="center"/>
          </w:tcPr>
          <w:p w14:paraId="03F3F4A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支持接方管理、配药管理、复核管理、设置中药处方煎煮方案。</w:t>
            </w:r>
          </w:p>
        </w:tc>
        <w:tc>
          <w:tcPr>
            <w:tcW w:w="1340" w:type="dxa"/>
            <w:noWrap w:val="0"/>
            <w:vAlign w:val="top"/>
          </w:tcPr>
          <w:p w14:paraId="3AE264B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F10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ACB4B2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09B9E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发药与配送管理</w:t>
            </w:r>
          </w:p>
        </w:tc>
        <w:tc>
          <w:tcPr>
            <w:tcW w:w="857" w:type="dxa"/>
            <w:noWrap w:val="0"/>
            <w:vAlign w:val="center"/>
          </w:tcPr>
          <w:p w14:paraId="6391F7F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2.2.1</w:t>
            </w:r>
          </w:p>
        </w:tc>
        <w:tc>
          <w:tcPr>
            <w:tcW w:w="4763" w:type="dxa"/>
            <w:noWrap w:val="0"/>
            <w:vAlign w:val="center"/>
          </w:tcPr>
          <w:p w14:paraId="0E92D99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支持发药管理、中药配送，支持与第三方物流系统对接；开展如智能货架、智能货夹、智能货框、自动摆药机等智能设备应用。</w:t>
            </w:r>
          </w:p>
        </w:tc>
        <w:tc>
          <w:tcPr>
            <w:tcW w:w="1340" w:type="dxa"/>
            <w:noWrap w:val="0"/>
            <w:vAlign w:val="top"/>
          </w:tcPr>
          <w:p w14:paraId="5988E74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79A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5C70726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3E961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自动调剂</w:t>
            </w:r>
          </w:p>
        </w:tc>
        <w:tc>
          <w:tcPr>
            <w:tcW w:w="857" w:type="dxa"/>
            <w:noWrap w:val="0"/>
            <w:vAlign w:val="center"/>
          </w:tcPr>
          <w:p w14:paraId="1565E90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2.3.1</w:t>
            </w:r>
          </w:p>
        </w:tc>
        <w:tc>
          <w:tcPr>
            <w:tcW w:w="4763" w:type="dxa"/>
            <w:noWrap w:val="0"/>
            <w:vAlign w:val="center"/>
          </w:tcPr>
          <w:p w14:paraId="6CAE702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支持根据中药处方自动调剂饮片，自动记录每味中药饮片的实际调剂重量等关键数据并拍照留底。</w:t>
            </w:r>
          </w:p>
        </w:tc>
        <w:tc>
          <w:tcPr>
            <w:tcW w:w="1340" w:type="dxa"/>
            <w:noWrap w:val="0"/>
            <w:vAlign w:val="top"/>
          </w:tcPr>
          <w:p w14:paraId="24688E4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8E8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127AE9B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中药合理用药管理</w:t>
            </w:r>
          </w:p>
        </w:tc>
        <w:tc>
          <w:tcPr>
            <w:tcW w:w="1275" w:type="dxa"/>
            <w:noWrap w:val="0"/>
            <w:vAlign w:val="center"/>
          </w:tcPr>
          <w:p w14:paraId="2F51280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药师会诊与查房</w:t>
            </w:r>
          </w:p>
        </w:tc>
        <w:tc>
          <w:tcPr>
            <w:tcW w:w="857" w:type="dxa"/>
            <w:noWrap w:val="0"/>
            <w:vAlign w:val="center"/>
          </w:tcPr>
          <w:p w14:paraId="581BA3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3.1.1</w:t>
            </w:r>
          </w:p>
        </w:tc>
        <w:tc>
          <w:tcPr>
            <w:tcW w:w="4763" w:type="dxa"/>
            <w:noWrap w:val="0"/>
            <w:vAlign w:val="center"/>
          </w:tcPr>
          <w:p w14:paraId="4DDF70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支持药师会诊、药师查房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信息浏览（病历病史信息、疾病诊断信息、医嘱信息、用药信息、过敏信息、检查检验信息等）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340" w:type="dxa"/>
            <w:noWrap w:val="0"/>
            <w:vAlign w:val="top"/>
          </w:tcPr>
          <w:p w14:paraId="003654F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30C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5714CC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7665D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合理用药知识库</w:t>
            </w:r>
          </w:p>
        </w:tc>
        <w:tc>
          <w:tcPr>
            <w:tcW w:w="857" w:type="dxa"/>
            <w:noWrap w:val="0"/>
            <w:vAlign w:val="center"/>
          </w:tcPr>
          <w:p w14:paraId="38B6A0F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3.2.1</w:t>
            </w:r>
          </w:p>
        </w:tc>
        <w:tc>
          <w:tcPr>
            <w:tcW w:w="4763" w:type="dxa"/>
            <w:noWrap w:val="0"/>
            <w:vAlign w:val="center"/>
          </w:tcPr>
          <w:p w14:paraId="1D9EF9D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中药用药指南知识库，如服药温度、服药时间、服药剂量、服药次数、给药途径、特殊服用方法、用药告知、药物贮藏等信息；建立审方规则知识库，包括用药指南、配伍禁忌、用量规则、有毒无毒规则及特殊人群用药禁忌规则。</w:t>
            </w:r>
          </w:p>
          <w:p w14:paraId="47629AF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支持为患者提供用药咨询及用药安全宣教等知识库（二级医院提供至少1种、三级医院提供2种）</w:t>
            </w:r>
          </w:p>
        </w:tc>
        <w:tc>
          <w:tcPr>
            <w:tcW w:w="1340" w:type="dxa"/>
            <w:noWrap w:val="0"/>
            <w:vAlign w:val="top"/>
          </w:tcPr>
          <w:p w14:paraId="6CA037C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C3F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56FDD8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1BAFB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处方前置审方</w:t>
            </w:r>
          </w:p>
        </w:tc>
        <w:tc>
          <w:tcPr>
            <w:tcW w:w="857" w:type="dxa"/>
            <w:noWrap w:val="0"/>
            <w:vAlign w:val="center"/>
          </w:tcPr>
          <w:p w14:paraId="5950BE2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3.3.1</w:t>
            </w:r>
          </w:p>
        </w:tc>
        <w:tc>
          <w:tcPr>
            <w:tcW w:w="4763" w:type="dxa"/>
            <w:noWrap w:val="0"/>
            <w:vAlign w:val="center"/>
          </w:tcPr>
          <w:p w14:paraId="67BECAB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支持中药处方前置审方智能机审、人工审方、审方实时交互。</w:t>
            </w:r>
          </w:p>
        </w:tc>
        <w:tc>
          <w:tcPr>
            <w:tcW w:w="1340" w:type="dxa"/>
            <w:noWrap w:val="0"/>
            <w:vAlign w:val="top"/>
          </w:tcPr>
          <w:p w14:paraId="509CBE5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AF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38C6F2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508ED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药嘱服务管理</w:t>
            </w:r>
          </w:p>
        </w:tc>
        <w:tc>
          <w:tcPr>
            <w:tcW w:w="857" w:type="dxa"/>
            <w:noWrap w:val="0"/>
            <w:vAlign w:val="center"/>
          </w:tcPr>
          <w:p w14:paraId="6FEC9AC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3.4.1</w:t>
            </w:r>
          </w:p>
        </w:tc>
        <w:tc>
          <w:tcPr>
            <w:tcW w:w="4763" w:type="dxa"/>
            <w:noWrap w:val="0"/>
            <w:vAlign w:val="center"/>
          </w:tcPr>
          <w:p w14:paraId="799C322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支持中药药嘱相关信息推送，如煎煮方法、服药方法、用药告知、贮藏方法。</w:t>
            </w:r>
          </w:p>
        </w:tc>
        <w:tc>
          <w:tcPr>
            <w:tcW w:w="1340" w:type="dxa"/>
            <w:noWrap w:val="0"/>
            <w:vAlign w:val="top"/>
          </w:tcPr>
          <w:p w14:paraId="4D9F18C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8FA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D835EF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0F25A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药物不良反应监测</w:t>
            </w:r>
          </w:p>
        </w:tc>
        <w:tc>
          <w:tcPr>
            <w:tcW w:w="857" w:type="dxa"/>
            <w:noWrap w:val="0"/>
            <w:vAlign w:val="center"/>
          </w:tcPr>
          <w:p w14:paraId="17C5FA3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3.5.1</w:t>
            </w:r>
          </w:p>
        </w:tc>
        <w:tc>
          <w:tcPr>
            <w:tcW w:w="4763" w:type="dxa"/>
            <w:noWrap w:val="0"/>
            <w:vAlign w:val="center"/>
          </w:tcPr>
          <w:p w14:paraId="5363E6D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支持药物不良反应自动监测预警、分级审核功能。</w:t>
            </w:r>
          </w:p>
        </w:tc>
        <w:tc>
          <w:tcPr>
            <w:tcW w:w="1340" w:type="dxa"/>
            <w:noWrap w:val="0"/>
            <w:vAlign w:val="top"/>
          </w:tcPr>
          <w:p w14:paraId="60E10FD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31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5E1F52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76CD1C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处方点评管理</w:t>
            </w:r>
          </w:p>
        </w:tc>
        <w:tc>
          <w:tcPr>
            <w:tcW w:w="857" w:type="dxa"/>
            <w:noWrap w:val="0"/>
            <w:vAlign w:val="center"/>
          </w:tcPr>
          <w:p w14:paraId="7BAAFE2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3.6.1</w:t>
            </w:r>
          </w:p>
        </w:tc>
        <w:tc>
          <w:tcPr>
            <w:tcW w:w="4763" w:type="dxa"/>
            <w:noWrap w:val="0"/>
            <w:vAlign w:val="center"/>
          </w:tcPr>
          <w:p w14:paraId="6E21A41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支持中药专项处方点评、中药处方点评常用短语设置。</w:t>
            </w:r>
          </w:p>
          <w:p w14:paraId="537F70B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支持处方点评知识库设置、规则设置、处方数据抽取规则设置、抽查处方样本点评、临床信息调阅、处方点评统计、超常处方统计、点评报告自动生成、点评结果反馈等功能。</w:t>
            </w:r>
          </w:p>
        </w:tc>
        <w:tc>
          <w:tcPr>
            <w:tcW w:w="1340" w:type="dxa"/>
            <w:noWrap w:val="0"/>
            <w:vAlign w:val="top"/>
          </w:tcPr>
          <w:p w14:paraId="662C9C6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7E7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323DE2F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中药煎药管理</w:t>
            </w:r>
          </w:p>
        </w:tc>
        <w:tc>
          <w:tcPr>
            <w:tcW w:w="1275" w:type="dxa"/>
            <w:noWrap w:val="0"/>
            <w:vAlign w:val="center"/>
          </w:tcPr>
          <w:p w14:paraId="11A76C7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煎药过程管理</w:t>
            </w:r>
          </w:p>
        </w:tc>
        <w:tc>
          <w:tcPr>
            <w:tcW w:w="857" w:type="dxa"/>
            <w:noWrap w:val="0"/>
            <w:vAlign w:val="center"/>
          </w:tcPr>
          <w:p w14:paraId="390D8D2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4.1.1</w:t>
            </w:r>
          </w:p>
        </w:tc>
        <w:tc>
          <w:tcPr>
            <w:tcW w:w="4763" w:type="dxa"/>
            <w:noWrap w:val="0"/>
            <w:vAlign w:val="center"/>
          </w:tcPr>
          <w:p w14:paraId="38E0D7A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支持患者中药代煎的收药管理、浸泡管理、包装管理、发药管理、留样管理、清洗与消毒管理。实现中药浸泡自动计算加水量和精确加水，并对浸泡时间进行监测和提醒；实现自动出液、自动包装。</w:t>
            </w:r>
          </w:p>
        </w:tc>
        <w:tc>
          <w:tcPr>
            <w:tcW w:w="1340" w:type="dxa"/>
            <w:noWrap w:val="0"/>
            <w:vAlign w:val="top"/>
          </w:tcPr>
          <w:p w14:paraId="6498A79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3B6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3A1C275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9221E8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煎药管理</w:t>
            </w:r>
          </w:p>
        </w:tc>
        <w:tc>
          <w:tcPr>
            <w:tcW w:w="857" w:type="dxa"/>
            <w:noWrap w:val="0"/>
            <w:vAlign w:val="center"/>
          </w:tcPr>
          <w:p w14:paraId="2E18A4F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4.2.1</w:t>
            </w:r>
          </w:p>
        </w:tc>
        <w:tc>
          <w:tcPr>
            <w:tcW w:w="4763" w:type="dxa"/>
            <w:noWrap w:val="0"/>
            <w:vAlign w:val="center"/>
          </w:tcPr>
          <w:p w14:paraId="3771F51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支持煎药管理、急煎管理、毒性中药饮片专机煎煮，具备煎药机煎煮方案自动设置、自动计算加水量、煎煮过程监测。</w:t>
            </w:r>
          </w:p>
        </w:tc>
        <w:tc>
          <w:tcPr>
            <w:tcW w:w="1340" w:type="dxa"/>
            <w:noWrap w:val="0"/>
            <w:vAlign w:val="top"/>
          </w:tcPr>
          <w:p w14:paraId="078C05A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3DA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noWrap w:val="0"/>
            <w:vAlign w:val="center"/>
          </w:tcPr>
          <w:p w14:paraId="056B9D3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中药临方加工质控管理</w:t>
            </w:r>
          </w:p>
        </w:tc>
        <w:tc>
          <w:tcPr>
            <w:tcW w:w="1275" w:type="dxa"/>
            <w:noWrap w:val="0"/>
            <w:vAlign w:val="center"/>
          </w:tcPr>
          <w:p w14:paraId="367C6E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中药临方关键节点质控管理</w:t>
            </w:r>
          </w:p>
        </w:tc>
        <w:tc>
          <w:tcPr>
            <w:tcW w:w="857" w:type="dxa"/>
            <w:noWrap w:val="0"/>
            <w:vAlign w:val="center"/>
          </w:tcPr>
          <w:p w14:paraId="0406AC3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5.1.1</w:t>
            </w:r>
          </w:p>
        </w:tc>
        <w:tc>
          <w:tcPr>
            <w:tcW w:w="4763" w:type="dxa"/>
            <w:noWrap w:val="0"/>
            <w:vAlign w:val="center"/>
          </w:tcPr>
          <w:p w14:paraId="290E285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支持对中药临方（如膏方、浓煎剂、丸剂、散剂、药茶、药酒等）加工过程的各个环节进行监测与管理。</w:t>
            </w:r>
          </w:p>
        </w:tc>
        <w:tc>
          <w:tcPr>
            <w:tcW w:w="1340" w:type="dxa"/>
            <w:noWrap w:val="0"/>
            <w:vAlign w:val="top"/>
          </w:tcPr>
          <w:p w14:paraId="0FC921C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D39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011BDAB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医院中药制剂管理</w:t>
            </w:r>
          </w:p>
        </w:tc>
        <w:tc>
          <w:tcPr>
            <w:tcW w:w="1275" w:type="dxa"/>
            <w:noWrap w:val="0"/>
            <w:vAlign w:val="center"/>
          </w:tcPr>
          <w:p w14:paraId="0E91DB4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制剂库房管理</w:t>
            </w:r>
          </w:p>
        </w:tc>
        <w:tc>
          <w:tcPr>
            <w:tcW w:w="857" w:type="dxa"/>
            <w:noWrap w:val="0"/>
            <w:vAlign w:val="center"/>
          </w:tcPr>
          <w:p w14:paraId="343019D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6.1.1</w:t>
            </w:r>
          </w:p>
        </w:tc>
        <w:tc>
          <w:tcPr>
            <w:tcW w:w="4763" w:type="dxa"/>
            <w:noWrap w:val="0"/>
            <w:vAlign w:val="center"/>
          </w:tcPr>
          <w:p w14:paraId="260E40E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支持中药材原辅料、包装材料、中药饮片、制剂成品的仓储管理。</w:t>
            </w:r>
          </w:p>
        </w:tc>
        <w:tc>
          <w:tcPr>
            <w:tcW w:w="1340" w:type="dxa"/>
            <w:noWrap w:val="0"/>
            <w:vAlign w:val="top"/>
          </w:tcPr>
          <w:p w14:paraId="7F84F14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D70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00A406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98284F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制剂生产管理</w:t>
            </w:r>
          </w:p>
        </w:tc>
        <w:tc>
          <w:tcPr>
            <w:tcW w:w="857" w:type="dxa"/>
            <w:noWrap w:val="0"/>
            <w:vAlign w:val="center"/>
          </w:tcPr>
          <w:p w14:paraId="3525A9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6.2.1</w:t>
            </w:r>
          </w:p>
        </w:tc>
        <w:tc>
          <w:tcPr>
            <w:tcW w:w="4763" w:type="dxa"/>
            <w:noWrap w:val="0"/>
            <w:vAlign w:val="center"/>
          </w:tcPr>
          <w:p w14:paraId="7009858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支持制剂工艺流程管理、制剂生产管理、生产批记录管理、制剂检验管理、制剂留样管理。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340" w:type="dxa"/>
            <w:noWrap w:val="0"/>
            <w:vAlign w:val="top"/>
          </w:tcPr>
          <w:p w14:paraId="3443864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5FD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8093A7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E449A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制剂许可证管理</w:t>
            </w:r>
          </w:p>
        </w:tc>
        <w:tc>
          <w:tcPr>
            <w:tcW w:w="857" w:type="dxa"/>
            <w:shd w:val="clear" w:color="auto" w:fill="auto"/>
            <w:noWrap w:val="0"/>
            <w:vAlign w:val="center"/>
          </w:tcPr>
          <w:p w14:paraId="5C30104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6.3.1</w:t>
            </w:r>
          </w:p>
        </w:tc>
        <w:tc>
          <w:tcPr>
            <w:tcW w:w="4763" w:type="dxa"/>
            <w:noWrap w:val="0"/>
            <w:vAlign w:val="center"/>
          </w:tcPr>
          <w:p w14:paraId="1333049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医疗机构制剂许可证信息的录入、编辑、查询功能；许可证核发和变更的记录功能；注册即将到期的预警提示。</w:t>
            </w:r>
          </w:p>
        </w:tc>
        <w:tc>
          <w:tcPr>
            <w:tcW w:w="1340" w:type="dxa"/>
            <w:noWrap w:val="0"/>
            <w:vAlign w:val="top"/>
          </w:tcPr>
          <w:p w14:paraId="421AAAD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6C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EADB5C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04A46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临方炮制</w:t>
            </w:r>
          </w:p>
        </w:tc>
        <w:tc>
          <w:tcPr>
            <w:tcW w:w="857" w:type="dxa"/>
            <w:shd w:val="clear" w:color="auto" w:fill="auto"/>
            <w:noWrap w:val="0"/>
            <w:vAlign w:val="center"/>
          </w:tcPr>
          <w:p w14:paraId="2806E22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6.4.1</w:t>
            </w:r>
          </w:p>
        </w:tc>
        <w:tc>
          <w:tcPr>
            <w:tcW w:w="4763" w:type="dxa"/>
            <w:noWrap w:val="0"/>
            <w:vAlign w:val="center"/>
          </w:tcPr>
          <w:p w14:paraId="142B267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支持对临方炮制全过程信息化管理和监测，包括临方炮制的留样信息记录、临方炮制的检验结果录入。</w:t>
            </w:r>
          </w:p>
        </w:tc>
        <w:tc>
          <w:tcPr>
            <w:tcW w:w="1340" w:type="dxa"/>
            <w:noWrap w:val="0"/>
            <w:vAlign w:val="top"/>
          </w:tcPr>
          <w:p w14:paraId="1668D07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0F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2E00659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4F0ADB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院外调剂管理</w:t>
            </w:r>
          </w:p>
        </w:tc>
        <w:tc>
          <w:tcPr>
            <w:tcW w:w="857" w:type="dxa"/>
            <w:noWrap w:val="0"/>
            <w:vAlign w:val="center"/>
          </w:tcPr>
          <w:p w14:paraId="4FAA84F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4763" w:type="dxa"/>
            <w:noWrap w:val="0"/>
            <w:vAlign w:val="center"/>
          </w:tcPr>
          <w:p w14:paraId="663C4ED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支持院外制剂调剂生产追溯信息、成品检验，并记录检验结果。</w:t>
            </w:r>
          </w:p>
        </w:tc>
        <w:tc>
          <w:tcPr>
            <w:tcW w:w="1340" w:type="dxa"/>
            <w:noWrap w:val="0"/>
            <w:vAlign w:val="top"/>
          </w:tcPr>
          <w:p w14:paraId="408BD8A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A0E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78519FB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共享中药房</w:t>
            </w:r>
          </w:p>
        </w:tc>
        <w:tc>
          <w:tcPr>
            <w:tcW w:w="1275" w:type="dxa"/>
            <w:noWrap w:val="0"/>
            <w:vAlign w:val="center"/>
          </w:tcPr>
          <w:p w14:paraId="55952DD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处方流转</w:t>
            </w:r>
          </w:p>
        </w:tc>
        <w:tc>
          <w:tcPr>
            <w:tcW w:w="857" w:type="dxa"/>
            <w:noWrap w:val="0"/>
            <w:vAlign w:val="center"/>
          </w:tcPr>
          <w:p w14:paraId="09D4910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7.1.1</w:t>
            </w:r>
          </w:p>
        </w:tc>
        <w:tc>
          <w:tcPr>
            <w:tcW w:w="4763" w:type="dxa"/>
            <w:noWrap w:val="0"/>
            <w:vAlign w:val="center"/>
          </w:tcPr>
          <w:p w14:paraId="32AC0AF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支持接收本医疗机构以外医疗机构（或中医药服务机构）的中药饮片处方信息，实现中药饮片仓储库存信息共享。</w:t>
            </w:r>
          </w:p>
        </w:tc>
        <w:tc>
          <w:tcPr>
            <w:tcW w:w="1340" w:type="dxa"/>
            <w:noWrap w:val="0"/>
            <w:vAlign w:val="top"/>
          </w:tcPr>
          <w:p w14:paraId="4008CC9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B0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208F368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1F2FF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药品对账管理</w:t>
            </w:r>
          </w:p>
        </w:tc>
        <w:tc>
          <w:tcPr>
            <w:tcW w:w="857" w:type="dxa"/>
            <w:noWrap w:val="0"/>
            <w:vAlign w:val="center"/>
          </w:tcPr>
          <w:p w14:paraId="21440F3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7.2.1</w:t>
            </w:r>
          </w:p>
        </w:tc>
        <w:tc>
          <w:tcPr>
            <w:tcW w:w="4763" w:type="dxa"/>
            <w:noWrap w:val="0"/>
            <w:vAlign w:val="center"/>
          </w:tcPr>
          <w:p w14:paraId="2BE9114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支持医院药品对账，生成对账单。</w:t>
            </w:r>
          </w:p>
        </w:tc>
        <w:tc>
          <w:tcPr>
            <w:tcW w:w="1340" w:type="dxa"/>
            <w:noWrap w:val="0"/>
            <w:vAlign w:val="top"/>
          </w:tcPr>
          <w:p w14:paraId="50606CC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BCB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7B17E13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患者服务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780EF3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便民服务</w:t>
            </w:r>
          </w:p>
        </w:tc>
        <w:tc>
          <w:tcPr>
            <w:tcW w:w="857" w:type="dxa"/>
            <w:noWrap w:val="0"/>
            <w:vAlign w:val="center"/>
          </w:tcPr>
          <w:p w14:paraId="61670FF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8.1.1</w:t>
            </w:r>
          </w:p>
        </w:tc>
        <w:tc>
          <w:tcPr>
            <w:tcW w:w="4763" w:type="dxa"/>
            <w:noWrap w:val="0"/>
            <w:vAlign w:val="center"/>
          </w:tcPr>
          <w:p w14:paraId="13942A8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设置中药发药专用窗口或柜台，患者可在线上线下实时查询待取药的状态，支持叫号和取药提醒服务；线下提供中药临时暂存服务，可提供患者非工作时段的自助取药服务。</w:t>
            </w:r>
          </w:p>
        </w:tc>
        <w:tc>
          <w:tcPr>
            <w:tcW w:w="1340" w:type="dxa"/>
            <w:noWrap w:val="0"/>
            <w:vAlign w:val="top"/>
          </w:tcPr>
          <w:p w14:paraId="11445FF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66C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C74A04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6810509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E0FC61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8.1.2</w:t>
            </w:r>
          </w:p>
        </w:tc>
        <w:tc>
          <w:tcPr>
            <w:tcW w:w="4763" w:type="dxa"/>
            <w:noWrap w:val="0"/>
            <w:vAlign w:val="center"/>
          </w:tcPr>
          <w:p w14:paraId="6552ADE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支持患者通过移动端获得处方查询、用药交代、用药提醒、中药知识库查询、配送状态等便民服务。</w:t>
            </w:r>
          </w:p>
        </w:tc>
        <w:tc>
          <w:tcPr>
            <w:tcW w:w="1340" w:type="dxa"/>
            <w:noWrap w:val="0"/>
            <w:vAlign w:val="top"/>
          </w:tcPr>
          <w:p w14:paraId="08A8DDC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144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restart"/>
            <w:shd w:val="clear" w:color="auto" w:fill="auto"/>
            <w:noWrap w:val="0"/>
            <w:vAlign w:val="center"/>
          </w:tcPr>
          <w:p w14:paraId="7895E5D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数据共享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 w14:paraId="2D607FC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接口管理</w:t>
            </w:r>
          </w:p>
        </w:tc>
        <w:tc>
          <w:tcPr>
            <w:tcW w:w="857" w:type="dxa"/>
            <w:shd w:val="clear" w:color="auto" w:fill="auto"/>
            <w:noWrap w:val="0"/>
            <w:vAlign w:val="center"/>
          </w:tcPr>
          <w:p w14:paraId="5CE30C5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9.1.1</w:t>
            </w:r>
          </w:p>
        </w:tc>
        <w:tc>
          <w:tcPr>
            <w:tcW w:w="4763" w:type="dxa"/>
            <w:shd w:val="clear" w:color="auto" w:fill="auto"/>
            <w:noWrap w:val="0"/>
            <w:vAlign w:val="center"/>
          </w:tcPr>
          <w:p w14:paraId="325AD06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处方流转系统需与医院HIS系统实现实时对接，同步中药处方信息，消除信息孤岛，确保共享中药房业务流程连贯高效性。</w:t>
            </w:r>
          </w:p>
        </w:tc>
        <w:tc>
          <w:tcPr>
            <w:tcW w:w="1340" w:type="dxa"/>
            <w:noWrap w:val="0"/>
            <w:vAlign w:val="top"/>
          </w:tcPr>
          <w:p w14:paraId="06AE5C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445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65795A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16A2B8F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F9DC4D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9.1.2</w:t>
            </w:r>
          </w:p>
        </w:tc>
        <w:tc>
          <w:tcPr>
            <w:tcW w:w="4763" w:type="dxa"/>
            <w:noWrap w:val="0"/>
            <w:vAlign w:val="center"/>
          </w:tcPr>
          <w:p w14:paraId="37E4798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与区域中药材追溯服务平台对接，通过中药材追溯码的全流程管理，实现中药材溯源，能查看药材产地、种植采收、加工包装、饮片生产、质检、流通等全过程追溯信息。</w:t>
            </w:r>
          </w:p>
        </w:tc>
        <w:tc>
          <w:tcPr>
            <w:tcW w:w="1340" w:type="dxa"/>
            <w:noWrap w:val="0"/>
            <w:vAlign w:val="top"/>
          </w:tcPr>
          <w:p w14:paraId="2AF2BFD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B6D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9BD599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72DDCB3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7F3532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9.1.3</w:t>
            </w:r>
          </w:p>
        </w:tc>
        <w:tc>
          <w:tcPr>
            <w:tcW w:w="4763" w:type="dxa"/>
            <w:noWrap w:val="0"/>
            <w:vAlign w:val="center"/>
          </w:tcPr>
          <w:p w14:paraId="2266DE7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智慧中药房有关业务数据实现集中统一管理，流转处方、库存、调剂、煎煮、制剂、配送等信息可实现集中展示；系统支持对煎煮生产全过程、各环节的数据监控和展示。</w:t>
            </w:r>
          </w:p>
        </w:tc>
        <w:tc>
          <w:tcPr>
            <w:tcW w:w="1340" w:type="dxa"/>
            <w:noWrap w:val="0"/>
            <w:vAlign w:val="top"/>
          </w:tcPr>
          <w:p w14:paraId="4CB06B3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1C61AD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（三）智慧中医医院（名老中医传承型）</w:t>
      </w:r>
    </w:p>
    <w:tbl>
      <w:tblPr>
        <w:tblStyle w:val="2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39"/>
        <w:gridCol w:w="856"/>
        <w:gridCol w:w="4764"/>
        <w:gridCol w:w="1339"/>
      </w:tblGrid>
      <w:tr w14:paraId="4920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339" w:type="dxa"/>
            <w:shd w:val="clear" w:color="000000" w:fill="FFFFFF"/>
            <w:noWrap w:val="0"/>
            <w:vAlign w:val="center"/>
          </w:tcPr>
          <w:p w14:paraId="52FE6DD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1339" w:type="dxa"/>
            <w:shd w:val="clear" w:color="auto" w:fill="auto"/>
            <w:noWrap w:val="0"/>
            <w:vAlign w:val="center"/>
          </w:tcPr>
          <w:p w14:paraId="0E64095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856" w:type="dxa"/>
            <w:shd w:val="clear" w:color="000000" w:fill="FFFFFF"/>
            <w:noWrap w:val="0"/>
            <w:vAlign w:val="center"/>
          </w:tcPr>
          <w:p w14:paraId="5DFA768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764" w:type="dxa"/>
            <w:noWrap w:val="0"/>
            <w:vAlign w:val="center"/>
          </w:tcPr>
          <w:p w14:paraId="2A4A421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主要评价内容</w:t>
            </w:r>
          </w:p>
        </w:tc>
        <w:tc>
          <w:tcPr>
            <w:tcW w:w="1339" w:type="dxa"/>
            <w:noWrap w:val="0"/>
            <w:vAlign w:val="center"/>
          </w:tcPr>
          <w:p w14:paraId="6C149D0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58D9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33FEB2D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名老中医药专家传承工作室建设</w:t>
            </w:r>
          </w:p>
        </w:tc>
        <w:tc>
          <w:tcPr>
            <w:tcW w:w="1339" w:type="dxa"/>
            <w:noWrap w:val="0"/>
            <w:vAlign w:val="center"/>
          </w:tcPr>
          <w:p w14:paraId="546D691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工作室</w:t>
            </w:r>
          </w:p>
          <w:p w14:paraId="2399411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基础管理</w:t>
            </w:r>
          </w:p>
        </w:tc>
        <w:tc>
          <w:tcPr>
            <w:tcW w:w="856" w:type="dxa"/>
            <w:noWrap w:val="0"/>
            <w:vAlign w:val="center"/>
          </w:tcPr>
          <w:p w14:paraId="2F63B7B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1.1.1</w:t>
            </w:r>
          </w:p>
        </w:tc>
        <w:tc>
          <w:tcPr>
            <w:tcW w:w="4764" w:type="dxa"/>
            <w:noWrap w:val="0"/>
            <w:vAlign w:val="center"/>
          </w:tcPr>
          <w:p w14:paraId="13E90F1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支持名老中医药专家传承工作室管理、工作室成员管理，如工作室的图片、名称、简介、专长介绍、成员基本信息等。</w:t>
            </w:r>
          </w:p>
        </w:tc>
        <w:tc>
          <w:tcPr>
            <w:tcW w:w="1339" w:type="dxa"/>
            <w:noWrap w:val="0"/>
            <w:vAlign w:val="center"/>
          </w:tcPr>
          <w:p w14:paraId="1790FC9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B09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D776A0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B05D0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工作室</w:t>
            </w:r>
          </w:p>
          <w:p w14:paraId="7C22603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活动管理</w:t>
            </w:r>
          </w:p>
        </w:tc>
        <w:tc>
          <w:tcPr>
            <w:tcW w:w="856" w:type="dxa"/>
            <w:noWrap w:val="0"/>
            <w:vAlign w:val="center"/>
          </w:tcPr>
          <w:p w14:paraId="57944D3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1.2.1</w:t>
            </w:r>
          </w:p>
        </w:tc>
        <w:tc>
          <w:tcPr>
            <w:tcW w:w="4764" w:type="dxa"/>
            <w:noWrap w:val="0"/>
            <w:vAlign w:val="center"/>
          </w:tcPr>
          <w:p w14:paraId="2C07BED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支持工作室讲座、读书会、名中医查房、病案讨论、示教观摩、培训等活动的信息管理。</w:t>
            </w:r>
          </w:p>
        </w:tc>
        <w:tc>
          <w:tcPr>
            <w:tcW w:w="1339" w:type="dxa"/>
            <w:noWrap w:val="0"/>
            <w:vAlign w:val="center"/>
          </w:tcPr>
          <w:p w14:paraId="3B8212A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5EF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894373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noWrap w:val="0"/>
            <w:vAlign w:val="center"/>
          </w:tcPr>
          <w:p w14:paraId="268CB8D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工作室</w:t>
            </w:r>
          </w:p>
          <w:p w14:paraId="185F9EB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资源管理</w:t>
            </w:r>
          </w:p>
        </w:tc>
        <w:tc>
          <w:tcPr>
            <w:tcW w:w="856" w:type="dxa"/>
            <w:noWrap w:val="0"/>
            <w:vAlign w:val="center"/>
          </w:tcPr>
          <w:p w14:paraId="1587E3E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1.3.1</w:t>
            </w:r>
          </w:p>
        </w:tc>
        <w:tc>
          <w:tcPr>
            <w:tcW w:w="4764" w:type="dxa"/>
            <w:noWrap w:val="0"/>
            <w:vAlign w:val="center"/>
          </w:tcPr>
          <w:p w14:paraId="0D510C9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支持对医案基本信息进行管理维护，如医案名称、医师姓名、辨证分型、治则治法等；支持复诊管理，如处方名称、复诊日期、处方用量、中药名等；支持医案资源分享管理；支持工作室学员对工作室进行评价。</w:t>
            </w:r>
          </w:p>
        </w:tc>
        <w:tc>
          <w:tcPr>
            <w:tcW w:w="1339" w:type="dxa"/>
            <w:noWrap w:val="0"/>
            <w:vAlign w:val="center"/>
          </w:tcPr>
          <w:p w14:paraId="798BBEE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570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0F73E3A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6D4C6DC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E7D48B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1.3.2</w:t>
            </w:r>
          </w:p>
        </w:tc>
        <w:tc>
          <w:tcPr>
            <w:tcW w:w="4764" w:type="dxa"/>
            <w:noWrap w:val="0"/>
            <w:vAlign w:val="center"/>
          </w:tcPr>
          <w:p w14:paraId="185B756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支持对年度计划、医话、读书心得、经验、书籍、获奖、专利、论文等基本信息进行管理维护；支持对上述内容进行分享；支持对上述内容进行注解评论。</w:t>
            </w:r>
          </w:p>
        </w:tc>
        <w:tc>
          <w:tcPr>
            <w:tcW w:w="1339" w:type="dxa"/>
            <w:noWrap w:val="0"/>
            <w:vAlign w:val="center"/>
          </w:tcPr>
          <w:p w14:paraId="404E29E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DD4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6CF7A3B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noWrap w:val="0"/>
            <w:vAlign w:val="center"/>
          </w:tcPr>
          <w:p w14:paraId="0D3E465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工作室</w:t>
            </w:r>
          </w:p>
          <w:p w14:paraId="573CA60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学员信息管理</w:t>
            </w:r>
          </w:p>
        </w:tc>
        <w:tc>
          <w:tcPr>
            <w:tcW w:w="856" w:type="dxa"/>
            <w:noWrap w:val="0"/>
            <w:vAlign w:val="center"/>
          </w:tcPr>
          <w:p w14:paraId="697F133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1.4.1</w:t>
            </w:r>
          </w:p>
        </w:tc>
        <w:tc>
          <w:tcPr>
            <w:tcW w:w="4764" w:type="dxa"/>
            <w:noWrap w:val="0"/>
            <w:vAlign w:val="center"/>
          </w:tcPr>
          <w:p w14:paraId="4938339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支持对名老中医工作室学员信息进行管理维护，如个人图片、基本信息、姓名、性别、身份证号等。</w:t>
            </w:r>
          </w:p>
        </w:tc>
        <w:tc>
          <w:tcPr>
            <w:tcW w:w="1339" w:type="dxa"/>
            <w:noWrap w:val="0"/>
            <w:vAlign w:val="center"/>
          </w:tcPr>
          <w:p w14:paraId="4F49639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4A8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D0E426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0D3CC50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82B2B8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1.4.2</w:t>
            </w:r>
          </w:p>
        </w:tc>
        <w:tc>
          <w:tcPr>
            <w:tcW w:w="4764" w:type="dxa"/>
            <w:noWrap w:val="0"/>
            <w:vAlign w:val="center"/>
          </w:tcPr>
          <w:p w14:paraId="566C8FE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支持跟师申请查询、跟师批准、跟师管理等。</w:t>
            </w:r>
          </w:p>
        </w:tc>
        <w:tc>
          <w:tcPr>
            <w:tcW w:w="1339" w:type="dxa"/>
            <w:noWrap w:val="0"/>
            <w:vAlign w:val="center"/>
          </w:tcPr>
          <w:p w14:paraId="1D87BC1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19D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F00297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67A77C8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6228A7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1.4.3</w:t>
            </w:r>
          </w:p>
        </w:tc>
        <w:tc>
          <w:tcPr>
            <w:tcW w:w="4764" w:type="dxa"/>
            <w:noWrap w:val="0"/>
            <w:vAlign w:val="center"/>
          </w:tcPr>
          <w:p w14:paraId="65F2CF8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支持对论文基本信息进行管理维护，如论文标题、论文内容编写、上传相关附件；实现论文分享管理。</w:t>
            </w:r>
          </w:p>
        </w:tc>
        <w:tc>
          <w:tcPr>
            <w:tcW w:w="1339" w:type="dxa"/>
            <w:noWrap w:val="0"/>
            <w:vAlign w:val="center"/>
          </w:tcPr>
          <w:p w14:paraId="7A0CEA3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91E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264339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08F5FDA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233DC02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1.4.4</w:t>
            </w:r>
          </w:p>
        </w:tc>
        <w:tc>
          <w:tcPr>
            <w:tcW w:w="4764" w:type="dxa"/>
            <w:noWrap w:val="0"/>
            <w:vAlign w:val="center"/>
          </w:tcPr>
          <w:p w14:paraId="755A190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支持查询学员考核成绩，如按学员姓名、工作室名称、是否合格、分数排序查询；支持查看考核结果和详情。</w:t>
            </w:r>
          </w:p>
        </w:tc>
        <w:tc>
          <w:tcPr>
            <w:tcW w:w="1339" w:type="dxa"/>
            <w:noWrap w:val="0"/>
            <w:vAlign w:val="center"/>
          </w:tcPr>
          <w:p w14:paraId="1015B04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C0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B39299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1CD43DE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775283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1.4.5</w:t>
            </w:r>
          </w:p>
        </w:tc>
        <w:tc>
          <w:tcPr>
            <w:tcW w:w="4764" w:type="dxa"/>
            <w:noWrap w:val="0"/>
            <w:vAlign w:val="center"/>
          </w:tcPr>
          <w:p w14:paraId="0D0DD69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支持查看跟师抄方和模拟抄方统计情况；支持按抄方内容和工作室查询；能够查看抄方详情、名医点评、删除模拟处方结果等。</w:t>
            </w:r>
          </w:p>
        </w:tc>
        <w:tc>
          <w:tcPr>
            <w:tcW w:w="1339" w:type="dxa"/>
            <w:noWrap w:val="0"/>
            <w:vAlign w:val="center"/>
          </w:tcPr>
          <w:p w14:paraId="1C5BE40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2B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15E43AA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A184CD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工作室</w:t>
            </w:r>
          </w:p>
          <w:p w14:paraId="618FE4B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考核</w:t>
            </w:r>
          </w:p>
        </w:tc>
        <w:tc>
          <w:tcPr>
            <w:tcW w:w="856" w:type="dxa"/>
            <w:noWrap w:val="0"/>
            <w:vAlign w:val="center"/>
          </w:tcPr>
          <w:p w14:paraId="70B587C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1.5.1</w:t>
            </w:r>
          </w:p>
        </w:tc>
        <w:tc>
          <w:tcPr>
            <w:tcW w:w="4764" w:type="dxa"/>
            <w:noWrap w:val="0"/>
            <w:vAlign w:val="center"/>
          </w:tcPr>
          <w:p w14:paraId="11BCF6F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支持名老中医工作室考核。</w:t>
            </w:r>
          </w:p>
        </w:tc>
        <w:tc>
          <w:tcPr>
            <w:tcW w:w="1339" w:type="dxa"/>
            <w:noWrap w:val="0"/>
            <w:vAlign w:val="center"/>
          </w:tcPr>
          <w:p w14:paraId="6BC5561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1A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163D189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名老中医跟师学习</w:t>
            </w:r>
          </w:p>
        </w:tc>
        <w:tc>
          <w:tcPr>
            <w:tcW w:w="1339" w:type="dxa"/>
            <w:vMerge w:val="restart"/>
            <w:noWrap w:val="0"/>
            <w:vAlign w:val="center"/>
          </w:tcPr>
          <w:p w14:paraId="243D7A2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活态传承</w:t>
            </w:r>
          </w:p>
        </w:tc>
        <w:tc>
          <w:tcPr>
            <w:tcW w:w="856" w:type="dxa"/>
            <w:noWrap w:val="0"/>
            <w:vAlign w:val="center"/>
          </w:tcPr>
          <w:p w14:paraId="2CA06FB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2.1.1</w:t>
            </w:r>
          </w:p>
        </w:tc>
        <w:tc>
          <w:tcPr>
            <w:tcW w:w="4764" w:type="dxa"/>
            <w:noWrap w:val="0"/>
            <w:vAlign w:val="center"/>
          </w:tcPr>
          <w:p w14:paraId="4B1E756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支持名老中医诊疗过程、老药工特色技艺展示等直播发布、管理。</w:t>
            </w:r>
          </w:p>
        </w:tc>
        <w:tc>
          <w:tcPr>
            <w:tcW w:w="1339" w:type="dxa"/>
            <w:noWrap w:val="0"/>
            <w:vAlign w:val="center"/>
          </w:tcPr>
          <w:p w14:paraId="2304BE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A82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9C5D9B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1657900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10854E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2.1.2</w:t>
            </w:r>
          </w:p>
        </w:tc>
        <w:tc>
          <w:tcPr>
            <w:tcW w:w="4764" w:type="dxa"/>
            <w:noWrap w:val="0"/>
            <w:vAlign w:val="center"/>
          </w:tcPr>
          <w:p w14:paraId="1133D5B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可通过重播和点播两种方式查看各个工作室上传的视频。</w:t>
            </w:r>
          </w:p>
        </w:tc>
        <w:tc>
          <w:tcPr>
            <w:tcW w:w="1339" w:type="dxa"/>
            <w:noWrap w:val="0"/>
            <w:vAlign w:val="center"/>
          </w:tcPr>
          <w:p w14:paraId="4FC90E1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4D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F7AF38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611BBD7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243DA0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2.1.3</w:t>
            </w:r>
          </w:p>
        </w:tc>
        <w:tc>
          <w:tcPr>
            <w:tcW w:w="4764" w:type="dxa"/>
            <w:noWrap w:val="0"/>
            <w:vAlign w:val="center"/>
          </w:tcPr>
          <w:p w14:paraId="35E60F5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实现资源发布、管理、下载等功能。</w:t>
            </w:r>
          </w:p>
        </w:tc>
        <w:tc>
          <w:tcPr>
            <w:tcW w:w="1339" w:type="dxa"/>
            <w:noWrap w:val="0"/>
            <w:vAlign w:val="center"/>
          </w:tcPr>
          <w:p w14:paraId="124A5EF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33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0CF263F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6682926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8B8028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2.1.4</w:t>
            </w:r>
          </w:p>
        </w:tc>
        <w:tc>
          <w:tcPr>
            <w:tcW w:w="4764" w:type="dxa"/>
            <w:noWrap w:val="0"/>
            <w:vAlign w:val="center"/>
          </w:tcPr>
          <w:p w14:paraId="6ADB418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建立医案、影像学习资料、音频学习资料之间的索引关联。</w:t>
            </w:r>
          </w:p>
        </w:tc>
        <w:tc>
          <w:tcPr>
            <w:tcW w:w="1339" w:type="dxa"/>
            <w:noWrap w:val="0"/>
            <w:vAlign w:val="center"/>
          </w:tcPr>
          <w:p w14:paraId="675594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74C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4E4DAF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025FB3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跟师抄方</w:t>
            </w:r>
          </w:p>
        </w:tc>
        <w:tc>
          <w:tcPr>
            <w:tcW w:w="856" w:type="dxa"/>
            <w:noWrap w:val="0"/>
            <w:vAlign w:val="center"/>
          </w:tcPr>
          <w:p w14:paraId="10F3278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2.2.1</w:t>
            </w:r>
          </w:p>
        </w:tc>
        <w:tc>
          <w:tcPr>
            <w:tcW w:w="4764" w:type="dxa"/>
            <w:noWrap w:val="0"/>
            <w:vAlign w:val="center"/>
          </w:tcPr>
          <w:p w14:paraId="68A5919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支持跟师信息查看，包括抄方记录查看、跟师过程记录查看（如医案、影像学习资料、音频学习资料等）。</w:t>
            </w:r>
          </w:p>
        </w:tc>
        <w:tc>
          <w:tcPr>
            <w:tcW w:w="1339" w:type="dxa"/>
            <w:noWrap w:val="0"/>
            <w:vAlign w:val="center"/>
          </w:tcPr>
          <w:p w14:paraId="676C847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93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3377447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3FF0C5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模拟开方</w:t>
            </w:r>
          </w:p>
        </w:tc>
        <w:tc>
          <w:tcPr>
            <w:tcW w:w="856" w:type="dxa"/>
            <w:noWrap w:val="0"/>
            <w:vAlign w:val="center"/>
          </w:tcPr>
          <w:p w14:paraId="557F148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2.3.1</w:t>
            </w:r>
          </w:p>
        </w:tc>
        <w:tc>
          <w:tcPr>
            <w:tcW w:w="4764" w:type="dxa"/>
            <w:noWrap w:val="0"/>
            <w:vAlign w:val="center"/>
          </w:tcPr>
          <w:p w14:paraId="01B5F0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支持学员模拟中医开方；支持模拟处方记录查看和删除等操作。</w:t>
            </w:r>
          </w:p>
        </w:tc>
        <w:tc>
          <w:tcPr>
            <w:tcW w:w="1339" w:type="dxa"/>
            <w:noWrap w:val="0"/>
            <w:vAlign w:val="center"/>
          </w:tcPr>
          <w:p w14:paraId="25D6DDE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AE2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3B0A634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3382CE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经验学习</w:t>
            </w:r>
          </w:p>
        </w:tc>
        <w:tc>
          <w:tcPr>
            <w:tcW w:w="856" w:type="dxa"/>
            <w:noWrap w:val="0"/>
            <w:vAlign w:val="center"/>
          </w:tcPr>
          <w:p w14:paraId="50CB815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2.4.1</w:t>
            </w:r>
          </w:p>
        </w:tc>
        <w:tc>
          <w:tcPr>
            <w:tcW w:w="4764" w:type="dxa"/>
            <w:noWrap w:val="0"/>
            <w:vAlign w:val="center"/>
          </w:tcPr>
          <w:p w14:paraId="0D342FF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支持工作室发布各种形式的名老中医药专家经验传承学习记录。</w:t>
            </w:r>
          </w:p>
        </w:tc>
        <w:tc>
          <w:tcPr>
            <w:tcW w:w="1339" w:type="dxa"/>
            <w:noWrap w:val="0"/>
            <w:vAlign w:val="center"/>
          </w:tcPr>
          <w:p w14:paraId="226D55B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177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13C894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noWrap w:val="0"/>
            <w:vAlign w:val="center"/>
          </w:tcPr>
          <w:p w14:paraId="0BCEBE3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在线考核</w:t>
            </w:r>
          </w:p>
        </w:tc>
        <w:tc>
          <w:tcPr>
            <w:tcW w:w="856" w:type="dxa"/>
            <w:noWrap w:val="0"/>
            <w:vAlign w:val="center"/>
          </w:tcPr>
          <w:p w14:paraId="51D5509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2.5.1</w:t>
            </w:r>
          </w:p>
        </w:tc>
        <w:tc>
          <w:tcPr>
            <w:tcW w:w="4764" w:type="dxa"/>
            <w:noWrap w:val="0"/>
            <w:vAlign w:val="center"/>
          </w:tcPr>
          <w:p w14:paraId="7DD5563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支持设置单选题、多选题、问答题、模拟接诊处方等格式题目。</w:t>
            </w:r>
          </w:p>
        </w:tc>
        <w:tc>
          <w:tcPr>
            <w:tcW w:w="1339" w:type="dxa"/>
            <w:noWrap w:val="0"/>
            <w:vAlign w:val="center"/>
          </w:tcPr>
          <w:p w14:paraId="41C2551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22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32848B7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noWrap w:val="0"/>
            <w:vAlign w:val="center"/>
          </w:tcPr>
          <w:p w14:paraId="3B732E7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7A61AB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2.5.2</w:t>
            </w:r>
          </w:p>
        </w:tc>
        <w:tc>
          <w:tcPr>
            <w:tcW w:w="4764" w:type="dxa"/>
            <w:noWrap w:val="0"/>
            <w:vAlign w:val="center"/>
          </w:tcPr>
          <w:p w14:paraId="3B6D9B4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支持对试卷进行浏览和批阅；支持客观题进行自动阅卷。</w:t>
            </w:r>
          </w:p>
        </w:tc>
        <w:tc>
          <w:tcPr>
            <w:tcW w:w="1339" w:type="dxa"/>
            <w:noWrap w:val="0"/>
            <w:vAlign w:val="center"/>
          </w:tcPr>
          <w:p w14:paraId="51F7D93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8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1910CE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11E55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模拟接诊</w:t>
            </w:r>
          </w:p>
        </w:tc>
        <w:tc>
          <w:tcPr>
            <w:tcW w:w="856" w:type="dxa"/>
            <w:noWrap w:val="0"/>
            <w:vAlign w:val="center"/>
          </w:tcPr>
          <w:p w14:paraId="1CC0FEB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2.6.1</w:t>
            </w:r>
          </w:p>
        </w:tc>
        <w:tc>
          <w:tcPr>
            <w:tcW w:w="4764" w:type="dxa"/>
            <w:noWrap w:val="0"/>
            <w:vAlign w:val="center"/>
          </w:tcPr>
          <w:p w14:paraId="5C77731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模拟中医类接诊规范流程，提供多病种选择、临床问诊替代、学员线上答题、自行编辑接诊步骤等功能。</w:t>
            </w:r>
          </w:p>
        </w:tc>
        <w:tc>
          <w:tcPr>
            <w:tcW w:w="1339" w:type="dxa"/>
            <w:noWrap w:val="0"/>
            <w:vAlign w:val="center"/>
          </w:tcPr>
          <w:p w14:paraId="51BC683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B7E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1D2CA4C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医案文献挖掘分析</w:t>
            </w:r>
          </w:p>
        </w:tc>
        <w:tc>
          <w:tcPr>
            <w:tcW w:w="1339" w:type="dxa"/>
            <w:noWrap w:val="0"/>
            <w:vAlign w:val="center"/>
          </w:tcPr>
          <w:p w14:paraId="04EDC96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医案建立</w:t>
            </w:r>
          </w:p>
        </w:tc>
        <w:tc>
          <w:tcPr>
            <w:tcW w:w="856" w:type="dxa"/>
            <w:noWrap w:val="0"/>
            <w:vAlign w:val="center"/>
          </w:tcPr>
          <w:p w14:paraId="2BBD265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3.1.1</w:t>
            </w:r>
          </w:p>
        </w:tc>
        <w:tc>
          <w:tcPr>
            <w:tcW w:w="4764" w:type="dxa"/>
            <w:noWrap w:val="0"/>
            <w:vAlign w:val="center"/>
          </w:tcPr>
          <w:p w14:paraId="57C0534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支持自建或从电子病历系统中建立医案；建立名老中医病案数据库；支持中医专家系统；支持应用于临床辅助决策和中医诊断教学。</w:t>
            </w:r>
          </w:p>
        </w:tc>
        <w:tc>
          <w:tcPr>
            <w:tcW w:w="1339" w:type="dxa"/>
            <w:noWrap w:val="0"/>
            <w:vAlign w:val="center"/>
          </w:tcPr>
          <w:p w14:paraId="1D2F188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4F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72E5C2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D8975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医案采集处理</w:t>
            </w:r>
          </w:p>
        </w:tc>
        <w:tc>
          <w:tcPr>
            <w:tcW w:w="856" w:type="dxa"/>
            <w:noWrap w:val="0"/>
            <w:vAlign w:val="center"/>
          </w:tcPr>
          <w:p w14:paraId="3914C9D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3.2.1</w:t>
            </w:r>
          </w:p>
        </w:tc>
        <w:tc>
          <w:tcPr>
            <w:tcW w:w="4764" w:type="dxa"/>
            <w:noWrap w:val="0"/>
            <w:vAlign w:val="center"/>
          </w:tcPr>
          <w:p w14:paraId="0DE7FCA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支持批量采集医案；支持中医诊断、证型、治则治法等规范处理；支持医案的中医诊断、证型等内容与标准化中医术语的自动匹配。</w:t>
            </w:r>
          </w:p>
        </w:tc>
        <w:tc>
          <w:tcPr>
            <w:tcW w:w="1339" w:type="dxa"/>
            <w:noWrap w:val="0"/>
            <w:vAlign w:val="center"/>
          </w:tcPr>
          <w:p w14:paraId="275F1FC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8CA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1A167CF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0C6DC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医案数据挖掘分析</w:t>
            </w:r>
          </w:p>
        </w:tc>
        <w:tc>
          <w:tcPr>
            <w:tcW w:w="856" w:type="dxa"/>
            <w:noWrap w:val="0"/>
            <w:vAlign w:val="center"/>
          </w:tcPr>
          <w:p w14:paraId="404DDE5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3.3.1</w:t>
            </w:r>
          </w:p>
        </w:tc>
        <w:tc>
          <w:tcPr>
            <w:tcW w:w="4764" w:type="dxa"/>
            <w:noWrap w:val="0"/>
            <w:vAlign w:val="center"/>
          </w:tcPr>
          <w:p w14:paraId="6316670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支持临床中四诊、病症、证型、治法、处方、用药等频次统计；支持医案多维度分析，如统计分析、关联分析等。</w:t>
            </w:r>
          </w:p>
        </w:tc>
        <w:tc>
          <w:tcPr>
            <w:tcW w:w="1339" w:type="dxa"/>
            <w:noWrap w:val="0"/>
            <w:vAlign w:val="center"/>
          </w:tcPr>
          <w:p w14:paraId="700989A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47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F72918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4BB4AE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临床指南</w:t>
            </w:r>
          </w:p>
        </w:tc>
        <w:tc>
          <w:tcPr>
            <w:tcW w:w="856" w:type="dxa"/>
            <w:noWrap w:val="0"/>
            <w:vAlign w:val="center"/>
          </w:tcPr>
          <w:p w14:paraId="32B440E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3.4.1</w:t>
            </w:r>
          </w:p>
        </w:tc>
        <w:tc>
          <w:tcPr>
            <w:tcW w:w="4764" w:type="dxa"/>
            <w:noWrap w:val="0"/>
            <w:vAlign w:val="center"/>
          </w:tcPr>
          <w:p w14:paraId="3B2364E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提供对病证的解读，如临床症状、诊断、证型，治则治法等。</w:t>
            </w:r>
          </w:p>
        </w:tc>
        <w:tc>
          <w:tcPr>
            <w:tcW w:w="1339" w:type="dxa"/>
            <w:noWrap w:val="0"/>
            <w:vAlign w:val="center"/>
          </w:tcPr>
          <w:p w14:paraId="4C797D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762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94D9B0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25F219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经典中成药、方剂查询</w:t>
            </w:r>
          </w:p>
        </w:tc>
        <w:tc>
          <w:tcPr>
            <w:tcW w:w="856" w:type="dxa"/>
            <w:noWrap w:val="0"/>
            <w:vAlign w:val="center"/>
          </w:tcPr>
          <w:p w14:paraId="645D752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3.5.1</w:t>
            </w:r>
          </w:p>
        </w:tc>
        <w:tc>
          <w:tcPr>
            <w:tcW w:w="4764" w:type="dxa"/>
            <w:noWrap w:val="0"/>
            <w:vAlign w:val="center"/>
          </w:tcPr>
          <w:p w14:paraId="2C7EDAD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提供查询古今方剂、中成药的用法用量、功能主治、药物不良反应等知识。</w:t>
            </w:r>
          </w:p>
        </w:tc>
        <w:tc>
          <w:tcPr>
            <w:tcW w:w="1339" w:type="dxa"/>
            <w:noWrap w:val="0"/>
            <w:vAlign w:val="center"/>
          </w:tcPr>
          <w:p w14:paraId="0A05324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533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048230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0FF3EF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查询检索</w:t>
            </w:r>
          </w:p>
        </w:tc>
        <w:tc>
          <w:tcPr>
            <w:tcW w:w="856" w:type="dxa"/>
            <w:noWrap w:val="0"/>
            <w:vAlign w:val="center"/>
          </w:tcPr>
          <w:p w14:paraId="70E8CAD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3.6.1</w:t>
            </w:r>
          </w:p>
        </w:tc>
        <w:tc>
          <w:tcPr>
            <w:tcW w:w="4764" w:type="dxa"/>
            <w:noWrap w:val="0"/>
            <w:vAlign w:val="center"/>
          </w:tcPr>
          <w:p w14:paraId="4C3E362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提供经典名医医案和期刊文献查询检索。</w:t>
            </w:r>
          </w:p>
        </w:tc>
        <w:tc>
          <w:tcPr>
            <w:tcW w:w="1339" w:type="dxa"/>
            <w:noWrap w:val="0"/>
            <w:vAlign w:val="center"/>
          </w:tcPr>
          <w:p w14:paraId="0A20401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783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4F0EEEA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名老中医学术研究</w:t>
            </w:r>
          </w:p>
        </w:tc>
        <w:tc>
          <w:tcPr>
            <w:tcW w:w="1339" w:type="dxa"/>
            <w:noWrap w:val="0"/>
            <w:vAlign w:val="center"/>
          </w:tcPr>
          <w:p w14:paraId="0C6921E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学术流派数据库建立</w:t>
            </w:r>
          </w:p>
        </w:tc>
        <w:tc>
          <w:tcPr>
            <w:tcW w:w="856" w:type="dxa"/>
            <w:noWrap w:val="0"/>
            <w:vAlign w:val="center"/>
          </w:tcPr>
          <w:p w14:paraId="1808FBC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4.1.1</w:t>
            </w:r>
          </w:p>
        </w:tc>
        <w:tc>
          <w:tcPr>
            <w:tcW w:w="4764" w:type="dxa"/>
            <w:noWrap w:val="0"/>
            <w:vAlign w:val="center"/>
          </w:tcPr>
          <w:p w14:paraId="39C1E3A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按学术思想、特色技法、优势病种、特色方药等要素建立中医学术流派数据库。</w:t>
            </w:r>
          </w:p>
        </w:tc>
        <w:tc>
          <w:tcPr>
            <w:tcW w:w="1339" w:type="dxa"/>
            <w:noWrap w:val="0"/>
            <w:vAlign w:val="center"/>
          </w:tcPr>
          <w:p w14:paraId="7641AA8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93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1A7461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DACE07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方剂筛选</w:t>
            </w:r>
          </w:p>
        </w:tc>
        <w:tc>
          <w:tcPr>
            <w:tcW w:w="856" w:type="dxa"/>
            <w:noWrap w:val="0"/>
            <w:vAlign w:val="center"/>
          </w:tcPr>
          <w:p w14:paraId="4167A7B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4.2.1</w:t>
            </w:r>
          </w:p>
        </w:tc>
        <w:tc>
          <w:tcPr>
            <w:tcW w:w="4764" w:type="dxa"/>
            <w:noWrap w:val="0"/>
            <w:vAlign w:val="center"/>
          </w:tcPr>
          <w:p w14:paraId="31FEE4A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支持分析名老中医用药习惯；支持筛选有效方剂。</w:t>
            </w:r>
          </w:p>
        </w:tc>
        <w:tc>
          <w:tcPr>
            <w:tcW w:w="1339" w:type="dxa"/>
            <w:noWrap w:val="0"/>
            <w:vAlign w:val="center"/>
          </w:tcPr>
          <w:p w14:paraId="22A135D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E9D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71F8A5C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B5B0D8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智能体应用</w:t>
            </w:r>
          </w:p>
        </w:tc>
        <w:tc>
          <w:tcPr>
            <w:tcW w:w="856" w:type="dxa"/>
            <w:noWrap w:val="0"/>
            <w:vAlign w:val="center"/>
          </w:tcPr>
          <w:p w14:paraId="1890B2F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4.3.1</w:t>
            </w:r>
          </w:p>
        </w:tc>
        <w:tc>
          <w:tcPr>
            <w:tcW w:w="4764" w:type="dxa"/>
            <w:noWrap w:val="0"/>
            <w:vAlign w:val="center"/>
          </w:tcPr>
          <w:p w14:paraId="3991B40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支持根据患者体质和病症特点，智能推荐符合药食同源理念的食物和食疗方案（如中药处方转化的茶饮、乌梅汤等健康产品）。</w:t>
            </w:r>
          </w:p>
        </w:tc>
        <w:tc>
          <w:tcPr>
            <w:tcW w:w="1339" w:type="dxa"/>
            <w:noWrap w:val="0"/>
            <w:vAlign w:val="center"/>
          </w:tcPr>
          <w:p w14:paraId="3B6BDD9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74B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Merge w:val="restart"/>
            <w:shd w:val="clear" w:color="auto" w:fill="auto"/>
            <w:noWrap w:val="0"/>
            <w:vAlign w:val="center"/>
          </w:tcPr>
          <w:p w14:paraId="150B31D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数据共享</w:t>
            </w:r>
          </w:p>
        </w:tc>
        <w:tc>
          <w:tcPr>
            <w:tcW w:w="1339" w:type="dxa"/>
            <w:vMerge w:val="restart"/>
            <w:shd w:val="clear" w:color="auto" w:fill="auto"/>
            <w:noWrap w:val="0"/>
            <w:vAlign w:val="center"/>
          </w:tcPr>
          <w:p w14:paraId="7AA4226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接口管理</w:t>
            </w: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 w14:paraId="71BE3FB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5.1.1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7A05FFE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系统与医院核心业务系统、远程医疗系统、辅助诊断系统、临床科研系统等实现接口对接，同步业务数据，消除信息孤岛。</w:t>
            </w:r>
          </w:p>
        </w:tc>
        <w:tc>
          <w:tcPr>
            <w:tcW w:w="1339" w:type="dxa"/>
            <w:noWrap w:val="0"/>
            <w:vAlign w:val="center"/>
          </w:tcPr>
          <w:p w14:paraId="39926C9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B3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vMerge w:val="continue"/>
            <w:shd w:val="clear" w:color="auto" w:fill="auto"/>
            <w:noWrap w:val="0"/>
            <w:vAlign w:val="center"/>
          </w:tcPr>
          <w:p w14:paraId="0655EA1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Merge w:val="continue"/>
            <w:shd w:val="clear" w:color="auto" w:fill="auto"/>
            <w:noWrap w:val="0"/>
            <w:vAlign w:val="center"/>
          </w:tcPr>
          <w:p w14:paraId="44C7C32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 w14:paraId="5AF47C6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5.1.2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13CD3B4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按照省、市中医药管理局有关要求，完成名老中医传承有关数据上传，根据业务协同要求开展实时接口对接和改造</w:t>
            </w:r>
          </w:p>
        </w:tc>
        <w:tc>
          <w:tcPr>
            <w:tcW w:w="1339" w:type="dxa"/>
            <w:noWrap w:val="0"/>
            <w:vAlign w:val="center"/>
          </w:tcPr>
          <w:p w14:paraId="737F316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33F208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）智慧中医医院（中医临床科研型）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6"/>
        <w:gridCol w:w="848"/>
        <w:gridCol w:w="4713"/>
        <w:gridCol w:w="1326"/>
      </w:tblGrid>
      <w:tr w14:paraId="2B27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1326" w:type="dxa"/>
            <w:shd w:val="clear" w:color="000000" w:fill="FFFFFF"/>
            <w:noWrap w:val="0"/>
            <w:vAlign w:val="center"/>
          </w:tcPr>
          <w:p w14:paraId="2AFDD1E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2563EAB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848" w:type="dxa"/>
            <w:shd w:val="clear" w:color="000000" w:fill="FFFFFF"/>
            <w:noWrap w:val="0"/>
            <w:vAlign w:val="center"/>
          </w:tcPr>
          <w:p w14:paraId="19D7929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3" w:type="dxa"/>
            <w:noWrap w:val="0"/>
            <w:vAlign w:val="center"/>
          </w:tcPr>
          <w:p w14:paraId="4171F92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主要评价内容</w:t>
            </w:r>
          </w:p>
        </w:tc>
        <w:tc>
          <w:tcPr>
            <w:tcW w:w="1326" w:type="dxa"/>
            <w:noWrap w:val="0"/>
            <w:vAlign w:val="center"/>
          </w:tcPr>
          <w:p w14:paraId="00E3086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1CC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055B919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科研管理平台</w:t>
            </w:r>
          </w:p>
        </w:tc>
        <w:tc>
          <w:tcPr>
            <w:tcW w:w="1326" w:type="dxa"/>
            <w:noWrap/>
            <w:vAlign w:val="center"/>
          </w:tcPr>
          <w:p w14:paraId="5BB1C5E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科研项目管理</w:t>
            </w:r>
          </w:p>
        </w:tc>
        <w:tc>
          <w:tcPr>
            <w:tcW w:w="848" w:type="dxa"/>
            <w:noWrap w:val="0"/>
            <w:vAlign w:val="center"/>
          </w:tcPr>
          <w:p w14:paraId="4B47F88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1.1.1</w:t>
            </w:r>
          </w:p>
        </w:tc>
        <w:tc>
          <w:tcPr>
            <w:tcW w:w="4713" w:type="dxa"/>
            <w:noWrap w:val="0"/>
            <w:vAlign w:val="center"/>
          </w:tcPr>
          <w:p w14:paraId="00B6037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支持中医类科研项目的管理，包括项目通知、项目申报、项目申报审核、在研项目管理、项目变更管理、项目检查管理、项目结题管理、合同管理等功能。</w:t>
            </w:r>
          </w:p>
        </w:tc>
        <w:tc>
          <w:tcPr>
            <w:tcW w:w="1326" w:type="dxa"/>
            <w:noWrap w:val="0"/>
            <w:vAlign w:val="center"/>
          </w:tcPr>
          <w:p w14:paraId="6891F88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DD7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43E72E3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09B2F1D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科研经费管理</w:t>
            </w:r>
          </w:p>
        </w:tc>
        <w:tc>
          <w:tcPr>
            <w:tcW w:w="848" w:type="dxa"/>
            <w:noWrap w:val="0"/>
            <w:vAlign w:val="center"/>
          </w:tcPr>
          <w:p w14:paraId="22386C9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1.2.1</w:t>
            </w:r>
          </w:p>
        </w:tc>
        <w:tc>
          <w:tcPr>
            <w:tcW w:w="4713" w:type="dxa"/>
            <w:noWrap w:val="0"/>
            <w:vAlign w:val="center"/>
          </w:tcPr>
          <w:p w14:paraId="6D692EF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支持中医类科研课题的经费预算和执行管理，包括预算填报、预算调整、经费报销在线审批、票据及文件在线上传、科研经费执行分析等功能。</w:t>
            </w:r>
          </w:p>
        </w:tc>
        <w:tc>
          <w:tcPr>
            <w:tcW w:w="1326" w:type="dxa"/>
            <w:noWrap w:val="0"/>
            <w:vAlign w:val="center"/>
          </w:tcPr>
          <w:p w14:paraId="55EE4B6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85B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203C319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2CE1B22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科研成果管理</w:t>
            </w:r>
          </w:p>
        </w:tc>
        <w:tc>
          <w:tcPr>
            <w:tcW w:w="848" w:type="dxa"/>
            <w:noWrap w:val="0"/>
            <w:vAlign w:val="center"/>
          </w:tcPr>
          <w:p w14:paraId="1955CC9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1.3.1</w:t>
            </w:r>
          </w:p>
        </w:tc>
        <w:tc>
          <w:tcPr>
            <w:tcW w:w="4713" w:type="dxa"/>
            <w:noWrap w:val="0"/>
            <w:vAlign w:val="center"/>
          </w:tcPr>
          <w:p w14:paraId="74F8518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支持中医类科研课题的科研成果管理，包括科研成果（如专利、科研奖项、论文、论著、其他成果等）在线登记、审批管理等功能。</w:t>
            </w:r>
          </w:p>
        </w:tc>
        <w:tc>
          <w:tcPr>
            <w:tcW w:w="1326" w:type="dxa"/>
            <w:noWrap w:val="0"/>
            <w:vAlign w:val="center"/>
          </w:tcPr>
          <w:p w14:paraId="5B9AA8E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57E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5100E52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7005C07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科研绩效管理</w:t>
            </w:r>
          </w:p>
        </w:tc>
        <w:tc>
          <w:tcPr>
            <w:tcW w:w="848" w:type="dxa"/>
            <w:noWrap w:val="0"/>
            <w:vAlign w:val="center"/>
          </w:tcPr>
          <w:p w14:paraId="10A8F9E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1.4.1</w:t>
            </w:r>
          </w:p>
        </w:tc>
        <w:tc>
          <w:tcPr>
            <w:tcW w:w="4713" w:type="dxa"/>
            <w:noWrap w:val="0"/>
            <w:vAlign w:val="center"/>
          </w:tcPr>
          <w:p w14:paraId="23EDCF8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支持中医类科研课题的绩效管理，包括考核方案制定、在线考核和考核数据统计分析等功能。</w:t>
            </w:r>
          </w:p>
        </w:tc>
        <w:tc>
          <w:tcPr>
            <w:tcW w:w="1326" w:type="dxa"/>
            <w:noWrap w:val="0"/>
            <w:vAlign w:val="center"/>
          </w:tcPr>
          <w:p w14:paraId="27629E1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E65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D4C3EB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522431B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科研专家库管理</w:t>
            </w:r>
          </w:p>
        </w:tc>
        <w:tc>
          <w:tcPr>
            <w:tcW w:w="848" w:type="dxa"/>
            <w:noWrap w:val="0"/>
            <w:vAlign w:val="center"/>
          </w:tcPr>
          <w:p w14:paraId="558A3CE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1.5.1</w:t>
            </w:r>
          </w:p>
        </w:tc>
        <w:tc>
          <w:tcPr>
            <w:tcW w:w="4713" w:type="dxa"/>
            <w:noWrap w:val="0"/>
            <w:vAlign w:val="center"/>
          </w:tcPr>
          <w:p w14:paraId="69BB2BF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支持中医医院科研专家综合管理，包括专家类别管理、专家信息管理等功能。</w:t>
            </w:r>
          </w:p>
        </w:tc>
        <w:tc>
          <w:tcPr>
            <w:tcW w:w="1326" w:type="dxa"/>
            <w:noWrap w:val="0"/>
            <w:vAlign w:val="center"/>
          </w:tcPr>
          <w:p w14:paraId="1D21180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0C9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65E9149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5816902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科研设备管理</w:t>
            </w:r>
          </w:p>
        </w:tc>
        <w:tc>
          <w:tcPr>
            <w:tcW w:w="848" w:type="dxa"/>
            <w:noWrap w:val="0"/>
            <w:vAlign w:val="center"/>
          </w:tcPr>
          <w:p w14:paraId="7AED93D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1.6.1</w:t>
            </w:r>
          </w:p>
        </w:tc>
        <w:tc>
          <w:tcPr>
            <w:tcW w:w="4713" w:type="dxa"/>
            <w:noWrap w:val="0"/>
            <w:vAlign w:val="center"/>
          </w:tcPr>
          <w:p w14:paraId="12E2F68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支持中医医院科研设备综合管理，包括设备类别管理、设备信息管理等功能。</w:t>
            </w:r>
          </w:p>
        </w:tc>
        <w:tc>
          <w:tcPr>
            <w:tcW w:w="1326" w:type="dxa"/>
            <w:noWrap w:val="0"/>
            <w:vAlign w:val="center"/>
          </w:tcPr>
          <w:p w14:paraId="710A080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549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0E9D9F9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临床科研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一体化平台</w:t>
            </w:r>
          </w:p>
        </w:tc>
        <w:tc>
          <w:tcPr>
            <w:tcW w:w="1326" w:type="dxa"/>
            <w:noWrap/>
            <w:vAlign w:val="center"/>
          </w:tcPr>
          <w:p w14:paraId="24D8787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临床数据采集</w:t>
            </w:r>
          </w:p>
        </w:tc>
        <w:tc>
          <w:tcPr>
            <w:tcW w:w="848" w:type="dxa"/>
            <w:noWrap w:val="0"/>
            <w:vAlign w:val="center"/>
          </w:tcPr>
          <w:p w14:paraId="7BE9757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2.1.1</w:t>
            </w:r>
          </w:p>
        </w:tc>
        <w:tc>
          <w:tcPr>
            <w:tcW w:w="4713" w:type="dxa"/>
            <w:noWrap w:val="0"/>
            <w:vAlign w:val="center"/>
          </w:tcPr>
          <w:p w14:paraId="7B2B5E5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临床数据采集，采集内容包括患者基本信息、诊疗数据（如主诉、现病史、既往史、过敏史等一般信息，中医四诊信息，中医诊断、西医诊断，药物与非药物治疗方案，检查检验结果，中医特色量表等）和医疗机构外部数据。</w:t>
            </w:r>
          </w:p>
        </w:tc>
        <w:tc>
          <w:tcPr>
            <w:tcW w:w="1326" w:type="dxa"/>
            <w:noWrap w:val="0"/>
            <w:vAlign w:val="center"/>
          </w:tcPr>
          <w:p w14:paraId="286D223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3CA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7D1A069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3A7A443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临床数据预处理</w:t>
            </w:r>
          </w:p>
        </w:tc>
        <w:tc>
          <w:tcPr>
            <w:tcW w:w="848" w:type="dxa"/>
            <w:noWrap w:val="0"/>
            <w:vAlign w:val="center"/>
          </w:tcPr>
          <w:p w14:paraId="75BAD06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2.2.1</w:t>
            </w:r>
          </w:p>
        </w:tc>
        <w:tc>
          <w:tcPr>
            <w:tcW w:w="4713" w:type="dxa"/>
            <w:noWrap w:val="0"/>
            <w:vAlign w:val="center"/>
          </w:tcPr>
          <w:p w14:paraId="0400E9C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支持对临床科研数据清理，如处理缺失数据、重复数据和异常数据等；支持对临床科研数据转化，如自然语言处理、衍生变量计算等。</w:t>
            </w:r>
          </w:p>
        </w:tc>
        <w:tc>
          <w:tcPr>
            <w:tcW w:w="1326" w:type="dxa"/>
            <w:noWrap w:val="0"/>
            <w:vAlign w:val="center"/>
          </w:tcPr>
          <w:p w14:paraId="57C489A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BBC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1A33DED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noWrap/>
            <w:vAlign w:val="center"/>
          </w:tcPr>
          <w:p w14:paraId="190271A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临床数据分析</w:t>
            </w:r>
          </w:p>
        </w:tc>
        <w:tc>
          <w:tcPr>
            <w:tcW w:w="848" w:type="dxa"/>
            <w:noWrap w:val="0"/>
            <w:vAlign w:val="center"/>
          </w:tcPr>
          <w:p w14:paraId="48752DB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2.3.1</w:t>
            </w:r>
          </w:p>
        </w:tc>
        <w:tc>
          <w:tcPr>
            <w:tcW w:w="4713" w:type="dxa"/>
            <w:noWrap w:val="0"/>
            <w:vAlign w:val="center"/>
          </w:tcPr>
          <w:p w14:paraId="14EE724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支持统计分析功能，统计分析方法如描述性分析、主次要指标的参数估计和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假设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检验、协变量筛选、各类回归模型、倾向性评分、疾病风险评分等。</w:t>
            </w:r>
          </w:p>
        </w:tc>
        <w:tc>
          <w:tcPr>
            <w:tcW w:w="1326" w:type="dxa"/>
            <w:noWrap w:val="0"/>
            <w:vAlign w:val="center"/>
          </w:tcPr>
          <w:p w14:paraId="620E210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2E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4957811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5B5F67C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1FF6D5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2.3.2</w:t>
            </w:r>
          </w:p>
        </w:tc>
        <w:tc>
          <w:tcPr>
            <w:tcW w:w="4713" w:type="dxa"/>
            <w:noWrap w:val="0"/>
            <w:vAlign w:val="center"/>
          </w:tcPr>
          <w:p w14:paraId="1C2008E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支持数据挖掘功能，如针对真实世界大数据和中医舌苔、脉象及其他生物特征信息的数据挖掘，针对中医处方或证候等分类分析，集合名老中医主观经验建模的数据挖掘等。</w:t>
            </w:r>
          </w:p>
        </w:tc>
        <w:tc>
          <w:tcPr>
            <w:tcW w:w="1326" w:type="dxa"/>
            <w:noWrap w:val="0"/>
            <w:vAlign w:val="center"/>
          </w:tcPr>
          <w:p w14:paraId="220C964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8E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459295C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临床科研专病库</w:t>
            </w:r>
          </w:p>
        </w:tc>
        <w:tc>
          <w:tcPr>
            <w:tcW w:w="1326" w:type="dxa"/>
            <w:noWrap/>
            <w:vAlign w:val="center"/>
          </w:tcPr>
          <w:p w14:paraId="13FC08D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资源概览</w:t>
            </w:r>
          </w:p>
        </w:tc>
        <w:tc>
          <w:tcPr>
            <w:tcW w:w="848" w:type="dxa"/>
            <w:noWrap w:val="0"/>
            <w:vAlign w:val="center"/>
          </w:tcPr>
          <w:p w14:paraId="3117967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3.1.1</w:t>
            </w:r>
          </w:p>
        </w:tc>
        <w:tc>
          <w:tcPr>
            <w:tcW w:w="4713" w:type="dxa"/>
            <w:noWrap w:val="0"/>
            <w:vAlign w:val="center"/>
          </w:tcPr>
          <w:p w14:paraId="5657E88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支持专病库数据资源整体情况概览功能，如数据资源构成统计、文档类型统计和变量分布等概览。</w:t>
            </w:r>
          </w:p>
        </w:tc>
        <w:tc>
          <w:tcPr>
            <w:tcW w:w="1326" w:type="dxa"/>
            <w:noWrap w:val="0"/>
            <w:vAlign w:val="center"/>
          </w:tcPr>
          <w:p w14:paraId="1CE18EF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8F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85AC17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59227D1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研究对象检索</w:t>
            </w:r>
          </w:p>
        </w:tc>
        <w:tc>
          <w:tcPr>
            <w:tcW w:w="848" w:type="dxa"/>
            <w:noWrap w:val="0"/>
            <w:vAlign w:val="center"/>
          </w:tcPr>
          <w:p w14:paraId="22CEB3F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3.2.1</w:t>
            </w:r>
          </w:p>
        </w:tc>
        <w:tc>
          <w:tcPr>
            <w:tcW w:w="4713" w:type="dxa"/>
            <w:noWrap w:val="0"/>
            <w:vAlign w:val="center"/>
          </w:tcPr>
          <w:p w14:paraId="41C7E8B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支持研究对象检索，如根据中医专病诊断的多种条件联合检索，根据关键字模糊检索等功能；支持研究对象人群检索结果可视化展示，如按照患者分布、疾病诊断分布和中医证型词云等方式展示检索结果。</w:t>
            </w:r>
          </w:p>
        </w:tc>
        <w:tc>
          <w:tcPr>
            <w:tcW w:w="1326" w:type="dxa"/>
            <w:noWrap w:val="0"/>
            <w:vAlign w:val="center"/>
          </w:tcPr>
          <w:p w14:paraId="57C349A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8BE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00C122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04E5F3A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数据管理</w:t>
            </w:r>
          </w:p>
        </w:tc>
        <w:tc>
          <w:tcPr>
            <w:tcW w:w="848" w:type="dxa"/>
            <w:noWrap w:val="0"/>
            <w:vAlign w:val="center"/>
          </w:tcPr>
          <w:p w14:paraId="7FF52F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3.3.1</w:t>
            </w:r>
          </w:p>
        </w:tc>
        <w:tc>
          <w:tcPr>
            <w:tcW w:w="4713" w:type="dxa"/>
            <w:noWrap w:val="0"/>
            <w:vAlign w:val="center"/>
          </w:tcPr>
          <w:p w14:paraId="11B1571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支持数据质控，包括数据完整度、规范性和原始数据溯源等。</w:t>
            </w:r>
          </w:p>
        </w:tc>
        <w:tc>
          <w:tcPr>
            <w:tcW w:w="1326" w:type="dxa"/>
            <w:noWrap w:val="0"/>
            <w:vAlign w:val="center"/>
          </w:tcPr>
          <w:p w14:paraId="7852EC0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95E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27F74F45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16B0EB5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专病研究分析</w:t>
            </w:r>
          </w:p>
        </w:tc>
        <w:tc>
          <w:tcPr>
            <w:tcW w:w="848" w:type="dxa"/>
            <w:noWrap w:val="0"/>
            <w:vAlign w:val="center"/>
          </w:tcPr>
          <w:p w14:paraId="437376C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3.4.1</w:t>
            </w:r>
          </w:p>
        </w:tc>
        <w:tc>
          <w:tcPr>
            <w:tcW w:w="4713" w:type="dxa"/>
            <w:noWrap w:val="0"/>
            <w:vAlign w:val="center"/>
          </w:tcPr>
          <w:p w14:paraId="7C0B4C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支持专病库多病种的中医特征变量研究分析，如研究人群分析、研究建模和影响因素分析等。</w:t>
            </w:r>
          </w:p>
        </w:tc>
        <w:tc>
          <w:tcPr>
            <w:tcW w:w="1326" w:type="dxa"/>
            <w:noWrap w:val="0"/>
            <w:vAlign w:val="center"/>
          </w:tcPr>
          <w:p w14:paraId="15637DD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提供3个及以上病种研究分析</w:t>
            </w:r>
          </w:p>
        </w:tc>
      </w:tr>
      <w:tr w14:paraId="6023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0D729D2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临床科研随访</w:t>
            </w:r>
          </w:p>
        </w:tc>
        <w:tc>
          <w:tcPr>
            <w:tcW w:w="1326" w:type="dxa"/>
            <w:noWrap/>
            <w:vAlign w:val="center"/>
          </w:tcPr>
          <w:p w14:paraId="1E64E61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随访管理</w:t>
            </w:r>
          </w:p>
        </w:tc>
        <w:tc>
          <w:tcPr>
            <w:tcW w:w="848" w:type="dxa"/>
            <w:noWrap w:val="0"/>
            <w:vAlign w:val="center"/>
          </w:tcPr>
          <w:p w14:paraId="7046DAB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4.1.1</w:t>
            </w:r>
          </w:p>
        </w:tc>
        <w:tc>
          <w:tcPr>
            <w:tcW w:w="4713" w:type="dxa"/>
            <w:noWrap w:val="0"/>
            <w:vAlign w:val="center"/>
          </w:tcPr>
          <w:p w14:paraId="4236DBB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支持科研随访路径管理、任务管理、量表管理。</w:t>
            </w:r>
          </w:p>
        </w:tc>
        <w:tc>
          <w:tcPr>
            <w:tcW w:w="1326" w:type="dxa"/>
            <w:noWrap/>
            <w:vAlign w:val="center"/>
          </w:tcPr>
          <w:p w14:paraId="2807BBB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CB5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4572EFE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7C9E746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患者管理</w:t>
            </w:r>
          </w:p>
        </w:tc>
        <w:tc>
          <w:tcPr>
            <w:tcW w:w="848" w:type="dxa"/>
            <w:noWrap w:val="0"/>
            <w:vAlign w:val="center"/>
          </w:tcPr>
          <w:p w14:paraId="4A691E2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4.2.1</w:t>
            </w:r>
          </w:p>
        </w:tc>
        <w:tc>
          <w:tcPr>
            <w:tcW w:w="4713" w:type="dxa"/>
            <w:noWrap w:val="0"/>
            <w:vAlign w:val="center"/>
          </w:tcPr>
          <w:p w14:paraId="6B02CD9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提供科研随访患者管理、随访患者组管理、患者标签管理功能。</w:t>
            </w:r>
          </w:p>
        </w:tc>
        <w:tc>
          <w:tcPr>
            <w:tcW w:w="1326" w:type="dxa"/>
            <w:noWrap/>
            <w:vAlign w:val="center"/>
          </w:tcPr>
          <w:p w14:paraId="35461C6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7A5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FC7DE9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64FB1AD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患者随访</w:t>
            </w:r>
          </w:p>
        </w:tc>
        <w:tc>
          <w:tcPr>
            <w:tcW w:w="848" w:type="dxa"/>
            <w:noWrap w:val="0"/>
            <w:vAlign w:val="center"/>
          </w:tcPr>
          <w:p w14:paraId="5D45377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4.3.1</w:t>
            </w:r>
          </w:p>
        </w:tc>
        <w:tc>
          <w:tcPr>
            <w:tcW w:w="4713" w:type="dxa"/>
            <w:noWrap w:val="0"/>
            <w:vAlign w:val="center"/>
          </w:tcPr>
          <w:p w14:paraId="14846DF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支持科研随访工作页，如查看患者基本信息、就诊信息、中医四诊、检查检验信息、随访量表等。</w:t>
            </w:r>
          </w:p>
        </w:tc>
        <w:tc>
          <w:tcPr>
            <w:tcW w:w="1326" w:type="dxa"/>
            <w:noWrap w:val="0"/>
            <w:vAlign w:val="center"/>
          </w:tcPr>
          <w:p w14:paraId="538CFF7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63D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144E25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项目伦理审查</w:t>
            </w:r>
          </w:p>
        </w:tc>
        <w:tc>
          <w:tcPr>
            <w:tcW w:w="1326" w:type="dxa"/>
            <w:noWrap/>
            <w:vAlign w:val="center"/>
          </w:tcPr>
          <w:p w14:paraId="38543ED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研究项目管理</w:t>
            </w:r>
          </w:p>
        </w:tc>
        <w:tc>
          <w:tcPr>
            <w:tcW w:w="848" w:type="dxa"/>
            <w:noWrap w:val="0"/>
            <w:vAlign w:val="center"/>
          </w:tcPr>
          <w:p w14:paraId="013E084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5.1.1</w:t>
            </w:r>
          </w:p>
        </w:tc>
        <w:tc>
          <w:tcPr>
            <w:tcW w:w="4713" w:type="dxa"/>
            <w:noWrap w:val="0"/>
            <w:vAlign w:val="center"/>
          </w:tcPr>
          <w:p w14:paraId="1303708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支持中医类研究项目管理，包括研究项目信息管理、研究项目审查进度查询等功能。</w:t>
            </w:r>
          </w:p>
        </w:tc>
        <w:tc>
          <w:tcPr>
            <w:tcW w:w="1326" w:type="dxa"/>
            <w:noWrap w:val="0"/>
            <w:vAlign w:val="center"/>
          </w:tcPr>
          <w:p w14:paraId="2CDBF45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2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1EE2DD4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28D8BFB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申请/报告管理</w:t>
            </w:r>
          </w:p>
        </w:tc>
        <w:tc>
          <w:tcPr>
            <w:tcW w:w="848" w:type="dxa"/>
            <w:noWrap w:val="0"/>
            <w:vAlign w:val="center"/>
          </w:tcPr>
          <w:p w14:paraId="0A764B4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5.2.1</w:t>
            </w:r>
          </w:p>
        </w:tc>
        <w:tc>
          <w:tcPr>
            <w:tcW w:w="4713" w:type="dxa"/>
            <w:noWrap w:val="0"/>
            <w:vAlign w:val="center"/>
          </w:tcPr>
          <w:p w14:paraId="0D682B0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类研究项目伦理申请/报告流程管理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8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 w14:paraId="500E5DA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7B7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2DA634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355A718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伦理审查流程</w:t>
            </w:r>
          </w:p>
        </w:tc>
        <w:tc>
          <w:tcPr>
            <w:tcW w:w="848" w:type="dxa"/>
            <w:noWrap w:val="0"/>
            <w:vAlign w:val="center"/>
          </w:tcPr>
          <w:p w14:paraId="0ED0C73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5.3.1</w:t>
            </w:r>
          </w:p>
        </w:tc>
        <w:tc>
          <w:tcPr>
            <w:tcW w:w="4713" w:type="dxa"/>
            <w:noWrap w:val="0"/>
            <w:vAlign w:val="center"/>
          </w:tcPr>
          <w:p w14:paraId="714BAF1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支持中医类研究项目伦理审查流程管理，包括项目受理、项目处理、项目审查、审查决定、文件存档等。</w:t>
            </w:r>
          </w:p>
        </w:tc>
        <w:tc>
          <w:tcPr>
            <w:tcW w:w="1326" w:type="dxa"/>
            <w:noWrap w:val="0"/>
            <w:vAlign w:val="center"/>
          </w:tcPr>
          <w:p w14:paraId="5690FD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11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3D2E9B5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临床药物试验</w:t>
            </w:r>
          </w:p>
        </w:tc>
        <w:tc>
          <w:tcPr>
            <w:tcW w:w="1326" w:type="dxa"/>
            <w:noWrap/>
            <w:vAlign w:val="center"/>
          </w:tcPr>
          <w:p w14:paraId="1A5B848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试验项目管理</w:t>
            </w:r>
          </w:p>
        </w:tc>
        <w:tc>
          <w:tcPr>
            <w:tcW w:w="848" w:type="dxa"/>
            <w:noWrap w:val="0"/>
            <w:vAlign w:val="center"/>
          </w:tcPr>
          <w:p w14:paraId="4404E58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6.1.1</w:t>
            </w:r>
          </w:p>
        </w:tc>
        <w:tc>
          <w:tcPr>
            <w:tcW w:w="4713" w:type="dxa"/>
            <w:noWrap w:val="0"/>
            <w:vAlign w:val="center"/>
          </w:tcPr>
          <w:p w14:paraId="7C5A9FC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支持中医临床药物试验项目管理，包括试验项目信息管理、试验药物信息管理和研究者信息管理等功能。</w:t>
            </w:r>
          </w:p>
        </w:tc>
        <w:tc>
          <w:tcPr>
            <w:tcW w:w="1326" w:type="dxa"/>
            <w:noWrap w:val="0"/>
            <w:vAlign w:val="center"/>
          </w:tcPr>
          <w:p w14:paraId="1FFCF47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8F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20FA47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7006E28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受试者管理</w:t>
            </w:r>
          </w:p>
        </w:tc>
        <w:tc>
          <w:tcPr>
            <w:tcW w:w="848" w:type="dxa"/>
            <w:noWrap w:val="0"/>
            <w:vAlign w:val="center"/>
          </w:tcPr>
          <w:p w14:paraId="23605D0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6.2.1</w:t>
            </w:r>
          </w:p>
        </w:tc>
        <w:tc>
          <w:tcPr>
            <w:tcW w:w="4713" w:type="dxa"/>
            <w:noWrap w:val="0"/>
            <w:vAlign w:val="center"/>
          </w:tcPr>
          <w:p w14:paraId="688567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支持受试者管理，包括试验电子病历书写、电子处方和检查检验申请单开具、中医问诊和体格检查的数据采集和管理、受试者历史就诊信息浏览等。</w:t>
            </w:r>
          </w:p>
        </w:tc>
        <w:tc>
          <w:tcPr>
            <w:tcW w:w="1326" w:type="dxa"/>
            <w:noWrap w:val="0"/>
            <w:vAlign w:val="center"/>
          </w:tcPr>
          <w:p w14:paraId="5A79676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D3F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78C875F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5CFEC2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研究者试验方案管理</w:t>
            </w:r>
          </w:p>
        </w:tc>
        <w:tc>
          <w:tcPr>
            <w:tcW w:w="848" w:type="dxa"/>
            <w:noWrap w:val="0"/>
            <w:vAlign w:val="center"/>
          </w:tcPr>
          <w:p w14:paraId="2FADC8B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6.3.1</w:t>
            </w:r>
          </w:p>
        </w:tc>
        <w:tc>
          <w:tcPr>
            <w:tcW w:w="4713" w:type="dxa"/>
            <w:noWrap w:val="0"/>
            <w:vAlign w:val="center"/>
          </w:tcPr>
          <w:p w14:paraId="26A801B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支持研究者中医类临床药物试验方案全流程管理，包括试验方案维护、访视计划管理、试验设备管理、入组组别维护、试验成员管理、试验文件管理等。</w:t>
            </w:r>
          </w:p>
        </w:tc>
        <w:tc>
          <w:tcPr>
            <w:tcW w:w="1326" w:type="dxa"/>
            <w:noWrap w:val="0"/>
            <w:vAlign w:val="center"/>
          </w:tcPr>
          <w:p w14:paraId="09AAD80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E9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5BB5740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604E289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不良事件管理</w:t>
            </w:r>
          </w:p>
        </w:tc>
        <w:tc>
          <w:tcPr>
            <w:tcW w:w="848" w:type="dxa"/>
            <w:noWrap w:val="0"/>
            <w:vAlign w:val="center"/>
          </w:tcPr>
          <w:p w14:paraId="0B8C659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6.4.1</w:t>
            </w:r>
          </w:p>
        </w:tc>
        <w:tc>
          <w:tcPr>
            <w:tcW w:w="4713" w:type="dxa"/>
            <w:noWrap w:val="0"/>
            <w:vAlign w:val="center"/>
          </w:tcPr>
          <w:p w14:paraId="22D0F59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具备不良事件报告管理、试验方案违背登记功能。</w:t>
            </w:r>
          </w:p>
        </w:tc>
        <w:tc>
          <w:tcPr>
            <w:tcW w:w="1326" w:type="dxa"/>
            <w:noWrap w:val="0"/>
            <w:vAlign w:val="center"/>
          </w:tcPr>
          <w:p w14:paraId="022646E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88D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35B0C25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1C22E66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试验药物管理</w:t>
            </w:r>
          </w:p>
        </w:tc>
        <w:tc>
          <w:tcPr>
            <w:tcW w:w="848" w:type="dxa"/>
            <w:noWrap w:val="0"/>
            <w:vAlign w:val="center"/>
          </w:tcPr>
          <w:p w14:paraId="1C4FFC7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6.5.1</w:t>
            </w:r>
          </w:p>
        </w:tc>
        <w:tc>
          <w:tcPr>
            <w:tcW w:w="4713" w:type="dxa"/>
            <w:noWrap w:val="0"/>
            <w:vAlign w:val="center"/>
          </w:tcPr>
          <w:p w14:paraId="7EA0A7BE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支持中医临床药物试验管理，包括试验药物库存管理、处方发药和药品回收等功能。</w:t>
            </w:r>
          </w:p>
        </w:tc>
        <w:tc>
          <w:tcPr>
            <w:tcW w:w="1326" w:type="dxa"/>
            <w:noWrap w:val="0"/>
            <w:vAlign w:val="center"/>
          </w:tcPr>
          <w:p w14:paraId="3C933B5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D2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26" w:type="dxa"/>
            <w:vMerge w:val="restart"/>
            <w:noWrap/>
            <w:vAlign w:val="center"/>
          </w:tcPr>
          <w:p w14:paraId="68756BE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生物样本库</w:t>
            </w:r>
          </w:p>
        </w:tc>
        <w:tc>
          <w:tcPr>
            <w:tcW w:w="1326" w:type="dxa"/>
            <w:noWrap/>
            <w:vAlign w:val="center"/>
          </w:tcPr>
          <w:p w14:paraId="74C89D7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生物样本信息管理</w:t>
            </w:r>
          </w:p>
        </w:tc>
        <w:tc>
          <w:tcPr>
            <w:tcW w:w="848" w:type="dxa"/>
            <w:noWrap w:val="0"/>
            <w:vAlign w:val="center"/>
          </w:tcPr>
          <w:p w14:paraId="3547774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7.1.1</w:t>
            </w:r>
          </w:p>
        </w:tc>
        <w:tc>
          <w:tcPr>
            <w:tcW w:w="4713" w:type="dxa"/>
            <w:noWrap w:val="0"/>
            <w:vAlign w:val="center"/>
          </w:tcPr>
          <w:p w14:paraId="67A6D6B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支持生物样本信息管理，包括生物样本条码标识、患者信息查阅、患者诊疗信息查阅等。</w:t>
            </w:r>
          </w:p>
        </w:tc>
        <w:tc>
          <w:tcPr>
            <w:tcW w:w="1326" w:type="dxa"/>
            <w:noWrap w:val="0"/>
            <w:vAlign w:val="center"/>
          </w:tcPr>
          <w:p w14:paraId="31C2248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78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25A16DE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4F07E9B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生物样本库存管理</w:t>
            </w:r>
          </w:p>
        </w:tc>
        <w:tc>
          <w:tcPr>
            <w:tcW w:w="848" w:type="dxa"/>
            <w:noWrap w:val="0"/>
            <w:vAlign w:val="center"/>
          </w:tcPr>
          <w:p w14:paraId="5D7E094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7.2.1</w:t>
            </w:r>
          </w:p>
        </w:tc>
        <w:tc>
          <w:tcPr>
            <w:tcW w:w="4713" w:type="dxa"/>
            <w:noWrap w:val="0"/>
            <w:vAlign w:val="center"/>
          </w:tcPr>
          <w:p w14:paraId="2EA1FA6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支持生物样本库存管理，包括冻存样本信息查询、冻存存储信息查询、生物样本存储方案管理、标本出入库审批、冰箱/液氮罐结构图形化展示等功能。</w:t>
            </w:r>
          </w:p>
        </w:tc>
        <w:tc>
          <w:tcPr>
            <w:tcW w:w="1326" w:type="dxa"/>
            <w:noWrap w:val="0"/>
            <w:vAlign w:val="center"/>
          </w:tcPr>
          <w:p w14:paraId="64028EA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72CCB2B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6"/>
        </w:rPr>
        <w:t>）智慧中医医院（中医智慧医共体型）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42"/>
        <w:gridCol w:w="1009"/>
        <w:gridCol w:w="4772"/>
        <w:gridCol w:w="1032"/>
      </w:tblGrid>
      <w:tr w14:paraId="76C4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861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E29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CAF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95D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主要评价内容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6FA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07E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1C2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中医医疗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服务与管理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B9A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中医门诊信息管理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5AB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96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具备支持中医医共体要求的中医电子病历书写、中医四诊信息录入、中医病证诊断录入、治则治法记录、信息引用、智能提醒等功能。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223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2C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A33A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E80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2A4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09C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提供门诊中药饮片处方录入、审核、修改、作废、模板管理及配伍禁忌和超剂量使用提醒等功能，提供中药处方用法录入功能（如煎服、外用等）；支持开具中药脚注（如先煎、后下等）。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7A6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777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727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EBB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8D3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317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提供中医经典处方、科研处方、协定处方、成组医嘱等具有中医特色模板的编辑、引用功能，对特殊方药提供保密措施。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F6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C4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B0D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4AB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D28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1.1.4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E26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非药物疗法治疗单据的录入、审核、修改、作废、执行、模板管理等功能，如支持针灸治疗医嘱录入穴位、治法、针法、灸法及留针时间等内容，支持推拿治疗医嘱录入部位、治法、手法、治疗时间等内容，提供常见疾病针灸处方的自动提示和查阅功能（包括主穴、配穴和针灸手法等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D74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33B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F79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7F1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中医药知识库服务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164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BBB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支持中医临床术语库、中医病证库、中医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  <w:t>证候库、中医治则治法库内容的调阅、引用。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A2CA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EF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B79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1AC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A3A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1.2.2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46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支持中药知识库、中成药知识库、现代方剂库、中医临床诊疗指南、名医医案库、中医非药物疗法知识库、中医病历信息质控规则知识库、古籍文献知识库、古代方剂库、期刊文献库等内容的调阅、引用。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82B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7C7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954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B92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中医临床辅助诊疗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15D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127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提供智能辅助问诊、辅助辨病、辅助辨证等功能。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669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2F6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296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F350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2F5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1.3.2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07C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提供辅助检查检验、辅助开方、中医合理用药以及中药字典库、方剂知识库等引用功能。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721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6CD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D2F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6F1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中医门诊病历质量管理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8B7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1.4.1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DAD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包括质控目标、时间点、关键节点、关键要素等质控内容。具备中医病证诊断等要素质量控制、中医病历信息质控规则知识库、病历质量监控、病历质控分析、评分统计报表等功能。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B33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48B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C39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0A0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中医诊疗设备信息管理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1F6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1.5.1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DEF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提供中医诊疗设备数据采集、数据交换、数据存储、报告管理等功能。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B65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8EA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599E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D5C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中医医疗服务人员管理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E9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1.6.1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991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类别医师（含中医类别全科医师、中医专长医师）、乡村全科执业助理医师、提供中医药服务的乡村医生等3类人员信息管理，提供中医类别医师人员信息、中医药继续教育、绩效考核、考核测评等管理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4AF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F2B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57F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  <w:t>共享中药房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ECE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中药目录库存管理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F91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B0B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医共体内所有机构提供统一的中药饮片目录与价格管理，包括录入、增补、移除、调价、获取、使用等功能。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C6F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C18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FA6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7E8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8CB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2.1.2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A0B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支持对中药采购至出库全过程信息化管理，提供对药库内中药饮片、中药配方颗粒的查询与统计，支持药品入库单、出库单、付款通知书、盘点表、库存表、采购计划单等报表的打印和导出功能。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CD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5AF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038E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DBF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中药制剂信息共享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E26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2.2.1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825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实现医共体内所有机构中药制剂的统一录入、共享、管理、配送等功能。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B4A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C6B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30C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A5E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中药处方流转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1BC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2.3.1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22A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支持接收本医疗机构以外医疗机构（或中医药服务机构）的中药饮片处方信息，实现中药饮片仓储库存信息共享。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162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A0D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04E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C72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中药处方审核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7C7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2.4.1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EE35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建立中药合理用药知识库，提供中药特殊煎煮方式知识库、审方规则知识库、审方预警分级知识库、服用指南知识库。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302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4B8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BEDF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2F7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FD3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2.4.2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544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提供中药处方配伍禁忌、毒麻药品等药物剂量合理性、特殊人群用药禁忌、超剂量用药、重复用药、不良反应等智能机审、实时提醒等。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D9F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C21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EE12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FC0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2A4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2.4.3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22D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提供审方任务自动或人工分配，支持药师人工审方的审核通过、打回、重审、提醒、上报等功能。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4AF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2B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382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228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中药饮片处方点评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D3D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2.5.1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6BE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提供中药饮片处方点评知识库设置、规则设置、处方数据抽取规则设置、抽查处方样本点评、临床信息调阅、处方点评统计、点评报告生成、点评结果反馈等功能。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A5D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993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DA3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371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中药煎药管理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F94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2.6.1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0F0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提供中药调剂、煎药管理、质量控制、急煎管理、毒性中药饮片专机煎煮等功能。支持条形码或二维码或电子标签等技术。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520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09A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570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F6E4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发药与配送管理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A864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2.7.1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E4B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支持发药管理、中药配送，实现与第三方物流系统对接。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B30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C1F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BCECE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D66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中药处方信息追溯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B1C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2.8.1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5582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提供中药处方开具、审核、调剂、煎药、包装、物流等全流程信息闭环追溯。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FD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7C5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63B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中医药健康管理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6C8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中医药健康服务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45D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41E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体质辨识、居民健康评估、膳食管理、中医药健康咨询、中医药保健指导、中医药健康指导、中医药健康干预、效果评估、结果反馈、满意度管理等，提供中医养生知识库、中医体质问卷表、咨询评测问卷库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ADD0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DD67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7D1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CA7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中医慢病管理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D07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3.2.1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09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现医共体内中医慢病患者就诊、筛查及健康管理服务，具备对慢病的中医诊疗信息管理、诊疗计划管理、中医特色诊疗方案（干预方案、调养方案、康复方案等）、中医特色量表管理、疗效与健康风险评估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2B7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219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B7B34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远程教育与会诊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5E7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课程教育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E43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D04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课程管理、课程直播、课程点播等功能。教学内容提供者对线上课程进行管理（包括课程维护、课程体系维护、课程资源维护等）；支持音视频互动式教学，实时图文影音的传递和交互（包括课程查询、课程播放、在线互动等）；支持将授课者的影像、声音和课件录制成标准网络格式实现课程点播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01F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5C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44BD3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9A9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B44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4.1.2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406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支持中医适宜技术、名老中医专家经验、中医经典知识等推广应用培训。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521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A4E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FEFD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835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远程跟师教育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DEFE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4.2.1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19E6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利用音视频交互技术，实现学员与中医名师建立远程实时互动跟师学习，包括在线跟诊、在线答疑、疑难病例讨论等。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9827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9E1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8B38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537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名家医案学习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E0A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4.3.1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A74F">
            <w:pPr>
              <w:widowControl/>
              <w:suppressAutoHyphens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在线学习中医名师大家的医案，包括医案检索、查看、评述等。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C9F3">
            <w:pPr>
              <w:widowControl/>
              <w:suppressAutoHyphens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567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ADCD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A9C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健康教育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D1B5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4.4.1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C74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提供中医药基本知识、中医养生保健知识、常见疾病中医药预防保健、重点人群中医药养生保健、中医药常识等内容的发布、查询、审核、维护等功能。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0359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43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FA1A9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5B1F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考评评价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817D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4.5.1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7340">
            <w:pPr>
              <w:widowControl/>
              <w:suppressAutoHyphens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在线学习的组织、考核和评价，包括学习组织、在线测试、成绩管理等。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CE0D">
            <w:pPr>
              <w:widowControl/>
              <w:suppressAutoHyphens/>
              <w:bidi w:val="0"/>
              <w:spacing w:line="240" w:lineRule="auto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FF6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1874C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0050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中医远程会诊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7FE2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4.6.1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9E8F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支持会诊医生通过文字、图片、语音、视频等方式进行在线沟通，为患者完成远程病历分析、疾病诊断和治疗方案。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DE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43B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2F66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BE8CF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35CA5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4.6.2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C25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提供专家会诊、健康档案信息共享、病历信息调阅、历次会诊信息查看、会诊报告管理及出具等功能。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支持检查检验报告调阅。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561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93A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2D8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87D4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B0656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4.6.3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92D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支持查看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四诊信息，如面色、舌质、舌苔、脉象等。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E14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F8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F29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双向转诊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57DA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患者下转和上转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DA9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E14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支持医共体内医疗机构进行门诊、住院的上转和下转。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B3AC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92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D89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1BF4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查询患者病历信息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10AB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5.2.1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8E81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支持查询患者本机构和外部医疗机构的主要医疗记录（包括：住院病案首页、门急诊病历、诊断证明书、住院医嘱、门诊处方、检验结果、检查报告：其他医疗机构记录实现不少于3类）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D1C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67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73E7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区域治未病管理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6FCA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治未病协同管理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5792C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09C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运用人工智能、大数据等技术，实现中医治未病信息管理应用，为居民提供疾病风险筛查、中医体质辨识、中医健康管理、智能体测等未病管理服务。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DE63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46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771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1FBA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F763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6.1.2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4E58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支持公卫和医疗业务协同，医共体平台实现与健康档案云平台的接口对接和数据共享，实现医防融合、医防协同的特色应用场景。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B36D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4E0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30E8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数据共享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1705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接口对接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0712A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7.1.1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2624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按照省、市中医药管理局有关要求，完成医共体有关数据上传，根据业务协同要求开展实时接口对接和改造。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23DB">
            <w:pPr>
              <w:widowControl/>
              <w:suppressAutoHyphens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02A9BF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备注：上述应用评价细则要求作为各申请单位编写方案的内容参考，并将作为专家指导组评审建设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方案的主要技术依据。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98C0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210" w:rightChars="100"/>
      <w:jc w:val="righ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1004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029C2971"/>
    <w:rsid w:val="03402490"/>
    <w:rsid w:val="0604153B"/>
    <w:rsid w:val="0A9C557E"/>
    <w:rsid w:val="106E67EE"/>
    <w:rsid w:val="117066D4"/>
    <w:rsid w:val="117A388B"/>
    <w:rsid w:val="17DB639B"/>
    <w:rsid w:val="1CFE257D"/>
    <w:rsid w:val="1D671147"/>
    <w:rsid w:val="1E6A322F"/>
    <w:rsid w:val="1E933BB9"/>
    <w:rsid w:val="20FD17BE"/>
    <w:rsid w:val="24074AE4"/>
    <w:rsid w:val="245F4DC2"/>
    <w:rsid w:val="26F70A5D"/>
    <w:rsid w:val="26F92A28"/>
    <w:rsid w:val="27C71D11"/>
    <w:rsid w:val="2C26606D"/>
    <w:rsid w:val="2DA77776"/>
    <w:rsid w:val="2E62494A"/>
    <w:rsid w:val="333C43C8"/>
    <w:rsid w:val="33C05EA9"/>
    <w:rsid w:val="350B4052"/>
    <w:rsid w:val="36A14F26"/>
    <w:rsid w:val="38085957"/>
    <w:rsid w:val="384A30E3"/>
    <w:rsid w:val="396E47FA"/>
    <w:rsid w:val="3BAF40CB"/>
    <w:rsid w:val="3BF40BD3"/>
    <w:rsid w:val="3D4B2948"/>
    <w:rsid w:val="3D7E1E14"/>
    <w:rsid w:val="3F17217A"/>
    <w:rsid w:val="43D65E6C"/>
    <w:rsid w:val="455A100F"/>
    <w:rsid w:val="48820F84"/>
    <w:rsid w:val="4D926C66"/>
    <w:rsid w:val="50E4253B"/>
    <w:rsid w:val="53E43F94"/>
    <w:rsid w:val="544D1B39"/>
    <w:rsid w:val="560D291E"/>
    <w:rsid w:val="5BBD57F6"/>
    <w:rsid w:val="608E4DD3"/>
    <w:rsid w:val="629628FD"/>
    <w:rsid w:val="62B66C4F"/>
    <w:rsid w:val="6A2F4D89"/>
    <w:rsid w:val="6A995680"/>
    <w:rsid w:val="6CA85EA3"/>
    <w:rsid w:val="72236379"/>
    <w:rsid w:val="72AC7F1B"/>
    <w:rsid w:val="73104006"/>
    <w:rsid w:val="776C7C79"/>
    <w:rsid w:val="79607369"/>
    <w:rsid w:val="79930A34"/>
    <w:rsid w:val="79B56823"/>
    <w:rsid w:val="7A232871"/>
    <w:rsid w:val="7A3A5E0C"/>
    <w:rsid w:val="7AC676A0"/>
    <w:rsid w:val="7BE2597C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66d1c6ac-5228-4aab-8186-bbe2b1df6d1c</errorID>
      <errorWord>至少达到四川省智慧医院4星及以上</errorWord>
      <group>L1_Word</group>
      <groupName>字词问题</groupName>
      <ability>L2_Typo</ability>
      <abilityName>字词错误</abilityName>
      <candidateList>
        <item>至少达到四川省智慧医院4星及</item>
      </candidateList>
      <explain/>
      <paraID>193134B7</paraID>
      <start>14</start>
      <end>30</end>
      <status>unmodified</status>
      <modifiedWord/>
      <trackRevisions>false</trackRevisions>
    </reviewItem>
    <reviewItem>
      <errorID>25aa8bba-e2fc-490e-bf63-d84ee0a03b8d</errorID>
      <errorWord>身份机读</errorWord>
      <group>L1_Word</group>
      <groupName>字词问题</groupName>
      <ability>L2_Typo</ability>
      <abilityName>字词错误</abilityName>
      <candidateList>
        <item>身份证机读</item>
      </candidateList>
      <explain/>
      <paraID> 6DF3D45</paraID>
      <start>42</start>
      <end>46</end>
      <status>unmodified</status>
      <modifiedWord/>
      <trackRevisions>false</trackRevisions>
    </reviewItem>
    <reviewItem>
      <errorID>9e6accc6-78f2-4e0d-ba1f-3c92efbc3f5f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1ABE32C8</paraID>
      <start>30</start>
      <end>32</end>
      <status>unmodified</status>
      <modifiedWord/>
      <trackRevisions>false</trackRevisions>
    </reviewItem>
    <reviewItem>
      <errorID>7ea41765-6db3-42b2-b45b-8d0a12b77096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8C64A1B</paraID>
      <start>20</start>
      <end>21</end>
      <status>unmodified</status>
      <modifiedWord/>
      <trackRevisions>false</trackRevisions>
    </reviewItem>
    <reviewItem>
      <errorID>ac675456-ada1-4907-864f-a7434e1d78dd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58D83140</paraID>
      <start>22</start>
      <end>23</end>
      <status>unmodified</status>
      <modifiedWord/>
      <trackRevisions>false</trackRevisions>
    </reviewItem>
    <reviewItem>
      <errorID>98dc62d6-364c-4298-92b1-fec360b360e7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58D83140</paraID>
      <start>25</start>
      <end>26</end>
      <status>unmodified</status>
      <modifiedWord/>
      <trackRevisions>false</trackRevisions>
    </reviewItem>
    <reviewItem>
      <errorID>279188ac-bcd6-42b7-97e7-849d42e9a0fd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58D83140</paraID>
      <start>28</start>
      <end>29</end>
      <status>unmodified</status>
      <modifiedWord/>
      <trackRevisions>false</trackRevisions>
    </reviewItem>
    <reviewItem>
      <errorID>ab6ce7b1-62f4-4197-86d6-187bccc75cd1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4669F491</paraID>
      <start>22</start>
      <end>24</end>
      <status>unmodified</status>
      <modifiedWord/>
      <trackRevisions>false</trackRevisions>
    </reviewItem>
    <reviewItem>
      <errorID>439f7e87-683a-4eb1-bcf8-e45c52111c6d</errorID>
      <errorWord>，能</errorWord>
      <group>L1_Word</group>
      <groupName>字词问题</groupName>
      <ability>L2_Typo</ability>
      <abilityName>字词错误</abilityName>
      <candidateList>
        <item>，</item>
      </candidateList>
      <explain/>
      <paraID>6B371890</paraID>
      <start>49</start>
      <end>51</end>
      <status>unmodified</status>
      <modifiedWord/>
      <trackRevisions>false</trackRevisions>
    </reviewItem>
    <reviewItem>
      <errorID>668cf3fd-5999-4e33-8894-89ed7bc7d77e</errorID>
      <errorWord>实现</errorWord>
      <group>L1_Word</group>
      <groupName>字词问题</groupName>
      <ability>L2_Typo</ability>
      <abilityName>字词错误</abilityName>
      <candidateList>
        <item>事项</item>
      </candidateList>
      <explain/>
      <paraID>3F4E3698</paraID>
      <start>86</start>
      <end>88</end>
      <status>unmodified</status>
      <modifiedWord/>
      <trackRevisions>false</trackRevisions>
    </reviewItem>
    <reviewItem>
      <errorID>db7ae349-9a68-4e76-86d6-70bbdc95df82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185B7569</paraID>
      <start>38</start>
      <end>39</end>
      <status>unmodified</status>
      <modifiedWord/>
      <trackRevisions>false</trackRevisions>
    </reviewItem>
    <reviewItem>
      <errorID>b98c99aa-a4ab-4d3c-bcb1-ce3373491d8d</errorID>
      <errorWord>，如</errorWord>
      <group>L1_Word</group>
      <groupName>字词问题</groupName>
      <ability>L2_Typo</ability>
      <abilityName>字词错误</abilityName>
      <candidateList>
        <item>，</item>
      </candidateList>
      <explain/>
      <paraID>755A190E</paraID>
      <start>10</start>
      <end>12</end>
      <status>unmodified</status>
      <modifiedWord/>
      <trackRevisions>false</trackRevisions>
    </reviewItem>
    <reviewItem>
      <errorID>99e33339-df77-4696-9bcc-bd66ff9be56f</errorID>
      <errorWord>工作页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14846DFC</paraID>
      <start>6</start>
      <end>9</end>
      <status>unmodified</status>
      <modifiedWord/>
      <trackRevisions>false</trackRevisions>
    </reviewItem>
    <reviewItem>
      <errorID>8daaa6ca-1862-4087-867a-7250ab5f07b1</errorID>
      <errorWord>组组</errorWord>
      <group>L1_Word</group>
      <groupName>字词问题</groupName>
      <ability>L2_Typo</ability>
      <abilityName>字词错误</abilityName>
      <candidateList>
        <item>组</item>
      </candidateList>
      <explain/>
      <paraID>26A801B1</paraID>
      <start>46</start>
      <end>48</end>
      <status>unmodified</status>
      <modifiedWord/>
      <trackRevisions>false</trackRevisions>
    </reviewItem>
    <reviewItem>
      <errorID>c249eb5c-ede5-418e-80f1-d376f4e38f04</errorID>
      <errorWord>实现</errorWord>
      <group>L1_Word</group>
      <groupName>字词问题</groupName>
      <ability>L2_Typo</ability>
      <abilityName>字词错误</abilityName>
      <candidateList>
        <item>事项</item>
      </candidateList>
      <explain/>
      <paraID>4A8F8E81</paraID>
      <start>74</start>
      <end>76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79f6a5-6469-4f99-9c6b-2f0493b5b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6810</Words>
  <Characters>7276</Characters>
  <Lines>0</Lines>
  <Paragraphs>0</Paragraphs>
  <TotalTime>8</TotalTime>
  <ScaleCrop>false</ScaleCrop>
  <LinksUpToDate>false</LinksUpToDate>
  <CharactersWithSpaces>7282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YWS</dc:creator>
  <cp:lastModifiedBy>像雨像雾又像风</cp:lastModifiedBy>
  <dcterms:modified xsi:type="dcterms:W3CDTF">2026-03-03T12:29:59Z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eyJoZGlkIjoiMTgyZDg5NGJiZjNkODEzZDg4ZGEwOTA2ZmU1NjE4ZWYiLCJ1c2VySWQiOiIxNDU2Nzg4OSJ9</vt:lpwstr>
  </property>
  <property fmtid="{D5CDD505-2E9C-101B-9397-08002B2CF9AE}" pid="4" name="ICV">
    <vt:lpwstr>3A0424A50CAA4F53A049062542CD83E2_13</vt:lpwstr>
  </property>
</Properties>
</file>